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41B07" w14:textId="77777777" w:rsidR="00931CCC" w:rsidRDefault="00931CCC">
      <w:pPr>
        <w:jc w:val="both"/>
        <w:rPr>
          <w:rFonts w:cs="Arial"/>
          <w:lang w:val="en-GB"/>
        </w:rPr>
      </w:pPr>
    </w:p>
    <w:p w14:paraId="5E441B08" w14:textId="77777777" w:rsidR="00931CCC" w:rsidRDefault="00931CCC">
      <w:pPr>
        <w:jc w:val="both"/>
        <w:rPr>
          <w:rFonts w:cs="Arial"/>
          <w:lang w:val="en-GB"/>
        </w:rPr>
      </w:pPr>
    </w:p>
    <w:p w14:paraId="5E441B09" w14:textId="77777777" w:rsidR="00931CCC" w:rsidRDefault="00931CCC">
      <w:pPr>
        <w:jc w:val="both"/>
        <w:rPr>
          <w:rFonts w:cs="Arial"/>
          <w:lang w:val="en-GB"/>
        </w:rPr>
      </w:pPr>
    </w:p>
    <w:p w14:paraId="5E441B0A" w14:textId="77777777" w:rsidR="00931CCC" w:rsidRDefault="00931CCC">
      <w:pPr>
        <w:jc w:val="both"/>
        <w:rPr>
          <w:rFonts w:cs="Arial"/>
          <w:lang w:val="en-GB"/>
        </w:rPr>
      </w:pPr>
    </w:p>
    <w:p w14:paraId="5E441B0B" w14:textId="77777777" w:rsidR="00AD728F" w:rsidRDefault="00AD728F">
      <w:pPr>
        <w:jc w:val="both"/>
        <w:rPr>
          <w:rFonts w:cs="Arial"/>
          <w:lang w:val="en-GB"/>
        </w:rPr>
      </w:pPr>
    </w:p>
    <w:p w14:paraId="5E441B0C" w14:textId="77777777" w:rsidR="00931CCC" w:rsidRDefault="00931CCC">
      <w:pPr>
        <w:jc w:val="both"/>
        <w:rPr>
          <w:rFonts w:cs="Arial"/>
          <w:lang w:val="en-GB"/>
        </w:rPr>
      </w:pPr>
    </w:p>
    <w:p w14:paraId="5E441B0D" w14:textId="77777777" w:rsidR="00931CCC" w:rsidRDefault="00931CCC">
      <w:pPr>
        <w:jc w:val="both"/>
        <w:rPr>
          <w:rFonts w:cs="Arial"/>
          <w:lang w:val="en-GB"/>
        </w:rPr>
      </w:pPr>
    </w:p>
    <w:p w14:paraId="5E441B0E" w14:textId="77777777" w:rsidR="00931CCC" w:rsidRDefault="00931CCC">
      <w:pPr>
        <w:jc w:val="both"/>
        <w:rPr>
          <w:rFonts w:cs="Arial"/>
          <w:lang w:val="en-GB"/>
        </w:rPr>
      </w:pPr>
    </w:p>
    <w:p w14:paraId="5E441B0F" w14:textId="77777777" w:rsidR="00931CCC" w:rsidRDefault="00931CCC">
      <w:pPr>
        <w:pStyle w:val="chaptitle"/>
        <w:widowControl/>
        <w:rPr>
          <w:rFonts w:cs="Arial"/>
          <w:lang w:val="en-GB"/>
        </w:rPr>
      </w:pPr>
      <w:r>
        <w:rPr>
          <w:rFonts w:cs="Arial"/>
          <w:lang w:val="en-GB"/>
        </w:rPr>
        <w:t>Chapter 1</w:t>
      </w:r>
    </w:p>
    <w:p w14:paraId="5E441B10" w14:textId="77777777" w:rsidR="00931CCC" w:rsidRDefault="00931CCC">
      <w:pPr>
        <w:pStyle w:val="chaptitle"/>
        <w:widowControl/>
        <w:rPr>
          <w:rFonts w:cs="Arial"/>
          <w:lang w:val="en-GB"/>
        </w:rPr>
      </w:pPr>
    </w:p>
    <w:p w14:paraId="5E441B11" w14:textId="77777777" w:rsidR="003C2E83" w:rsidRDefault="00EB0DAF" w:rsidP="006F3822">
      <w:pPr>
        <w:jc w:val="center"/>
        <w:rPr>
          <w:rFonts w:cs="Arial"/>
          <w:b/>
          <w:snapToGrid w:val="0"/>
          <w:sz w:val="48"/>
          <w:szCs w:val="48"/>
        </w:rPr>
      </w:pPr>
      <w:r w:rsidRPr="006F3822">
        <w:rPr>
          <w:rFonts w:cs="Arial"/>
          <w:b/>
          <w:snapToGrid w:val="0"/>
          <w:sz w:val="48"/>
          <w:szCs w:val="48"/>
        </w:rPr>
        <w:t xml:space="preserve">Conceptual &amp; Case Analysis Frameworks for Financial Reporting </w:t>
      </w:r>
    </w:p>
    <w:p w14:paraId="5E441B12" w14:textId="77777777" w:rsidR="00EA6310" w:rsidRDefault="00EA6310" w:rsidP="006F3822">
      <w:pPr>
        <w:jc w:val="center"/>
        <w:rPr>
          <w:rFonts w:cs="Arial"/>
          <w:b/>
          <w:sz w:val="48"/>
          <w:szCs w:val="48"/>
          <w:highlight w:val="yellow"/>
          <w:lang w:val="en-GB"/>
        </w:rPr>
      </w:pPr>
    </w:p>
    <w:p w14:paraId="5E441B13" w14:textId="77777777" w:rsidR="00383F5D" w:rsidRPr="006F3822" w:rsidRDefault="00383F5D" w:rsidP="006F3822">
      <w:pPr>
        <w:jc w:val="center"/>
        <w:rPr>
          <w:rFonts w:cs="Arial"/>
          <w:b/>
          <w:sz w:val="48"/>
          <w:szCs w:val="48"/>
          <w:highlight w:val="yellow"/>
          <w:lang w:val="en-GB"/>
        </w:rPr>
        <w:sectPr w:rsidR="00383F5D" w:rsidRPr="006F3822" w:rsidSect="001E22B1">
          <w:footerReference w:type="even" r:id="rId7"/>
          <w:footerReference w:type="default" r:id="rId8"/>
          <w:type w:val="continuous"/>
          <w:pgSz w:w="12240" w:h="15840"/>
          <w:pgMar w:top="1440" w:right="1440" w:bottom="1080" w:left="1440" w:header="1440" w:footer="720" w:gutter="0"/>
          <w:pgNumType w:start="1"/>
          <w:cols w:space="720"/>
          <w:noEndnote/>
        </w:sectPr>
      </w:pPr>
    </w:p>
    <w:p w14:paraId="5E441B14" w14:textId="77777777" w:rsidR="00931CCC" w:rsidRDefault="00931CCC">
      <w:pPr>
        <w:jc w:val="both"/>
        <w:rPr>
          <w:rFonts w:cs="Arial"/>
          <w:sz w:val="28"/>
          <w:lang w:val="en-GB"/>
        </w:rPr>
      </w:pPr>
      <w:r>
        <w:rPr>
          <w:rFonts w:cs="Arial"/>
          <w:sz w:val="28"/>
          <w:lang w:val="en-GB"/>
        </w:rPr>
        <w:lastRenderedPageBreak/>
        <w:t>A brief description of the major points covered in each case and problem.</w:t>
      </w:r>
    </w:p>
    <w:p w14:paraId="5E441B15" w14:textId="77777777" w:rsidR="00931CCC" w:rsidRDefault="00931CCC">
      <w:pPr>
        <w:jc w:val="both"/>
        <w:rPr>
          <w:rFonts w:cs="Arial"/>
          <w:sz w:val="28"/>
          <w:lang w:val="en-GB"/>
        </w:rPr>
      </w:pPr>
    </w:p>
    <w:p w14:paraId="5E441B16" w14:textId="77777777" w:rsidR="00931CCC" w:rsidRDefault="00931CCC">
      <w:pPr>
        <w:jc w:val="both"/>
        <w:rPr>
          <w:rFonts w:cs="Arial"/>
          <w:sz w:val="28"/>
          <w:lang w:val="en-GB"/>
        </w:rPr>
      </w:pPr>
      <w:r>
        <w:rPr>
          <w:rFonts w:cs="Arial"/>
          <w:sz w:val="28"/>
          <w:lang w:val="en-GB"/>
        </w:rPr>
        <w:t>CASES</w:t>
      </w:r>
    </w:p>
    <w:p w14:paraId="5E441B17" w14:textId="77777777" w:rsidR="00931CCC" w:rsidRDefault="00931CCC">
      <w:pPr>
        <w:jc w:val="both"/>
        <w:rPr>
          <w:rFonts w:cs="Arial"/>
          <w:sz w:val="28"/>
          <w:lang w:val="en-GB"/>
        </w:rPr>
      </w:pPr>
    </w:p>
    <w:p w14:paraId="5E441B18" w14:textId="77777777" w:rsidR="00931CCC" w:rsidRDefault="00931CCC">
      <w:pPr>
        <w:pStyle w:val="Heading2"/>
        <w:spacing w:line="360" w:lineRule="auto"/>
        <w:rPr>
          <w:rFonts w:cs="Arial"/>
          <w:b/>
          <w:bCs/>
          <w:sz w:val="22"/>
        </w:rPr>
      </w:pPr>
      <w:r>
        <w:rPr>
          <w:rFonts w:cs="Arial"/>
          <w:b/>
          <w:bCs/>
          <w:sz w:val="22"/>
        </w:rPr>
        <w:t>Case 1-1</w:t>
      </w:r>
    </w:p>
    <w:p w14:paraId="5E441B19" w14:textId="77777777" w:rsidR="00931CCC" w:rsidRDefault="00931CCC">
      <w:pPr>
        <w:spacing w:line="360" w:lineRule="auto"/>
        <w:rPr>
          <w:rFonts w:cs="Arial"/>
        </w:rPr>
      </w:pPr>
      <w:r>
        <w:rPr>
          <w:rFonts w:cs="Arial"/>
        </w:rPr>
        <w:t>In this case, students are introduced to the difference in accounting for R&amp;D costs between IFRS and</w:t>
      </w:r>
      <w:r w:rsidR="00EB0DAF">
        <w:rPr>
          <w:rFonts w:cs="Arial"/>
        </w:rPr>
        <w:t xml:space="preserve"> ASPE</w:t>
      </w:r>
      <w:r>
        <w:rPr>
          <w:rFonts w:cs="Arial"/>
        </w:rPr>
        <w:t xml:space="preserve"> and asked to provide arguments to support the different standards</w:t>
      </w:r>
      <w:r w:rsidR="00EB0DAF">
        <w:rPr>
          <w:rFonts w:cs="Arial"/>
        </w:rPr>
        <w:t>.</w:t>
      </w:r>
      <w:r>
        <w:rPr>
          <w:rFonts w:cs="Arial"/>
        </w:rPr>
        <w:t xml:space="preserve"> </w:t>
      </w:r>
    </w:p>
    <w:p w14:paraId="5E441B1A" w14:textId="77777777" w:rsidR="00931CCC" w:rsidRDefault="00931CCC">
      <w:pPr>
        <w:pStyle w:val="Heading2"/>
        <w:spacing w:line="360" w:lineRule="auto"/>
        <w:rPr>
          <w:rFonts w:cs="Arial"/>
          <w:b/>
          <w:bCs/>
          <w:sz w:val="22"/>
        </w:rPr>
      </w:pPr>
    </w:p>
    <w:p w14:paraId="5E441B1B" w14:textId="77777777" w:rsidR="00931CCC" w:rsidRDefault="00931CCC">
      <w:pPr>
        <w:pStyle w:val="Heading2"/>
        <w:spacing w:line="360" w:lineRule="auto"/>
        <w:rPr>
          <w:rFonts w:cs="Arial"/>
          <w:b/>
          <w:bCs/>
          <w:sz w:val="22"/>
        </w:rPr>
      </w:pPr>
      <w:r>
        <w:rPr>
          <w:rFonts w:cs="Arial"/>
          <w:b/>
          <w:bCs/>
          <w:sz w:val="22"/>
        </w:rPr>
        <w:t>Case 1-2</w:t>
      </w:r>
      <w:r>
        <w:rPr>
          <w:rFonts w:cs="Arial"/>
          <w:sz w:val="22"/>
        </w:rPr>
        <w:t xml:space="preserve">  (adapted from a case prepared by Peter Secord, Saint Mary’s University)</w:t>
      </w:r>
    </w:p>
    <w:p w14:paraId="5E441B1C" w14:textId="77777777" w:rsidR="00931CCC" w:rsidRDefault="00931CCC">
      <w:pPr>
        <w:pStyle w:val="BodyText"/>
        <w:rPr>
          <w:rFonts w:cs="Arial"/>
        </w:rPr>
      </w:pPr>
      <w:r>
        <w:rPr>
          <w:rFonts w:cs="Arial"/>
        </w:rPr>
        <w:t>In this real life case, students are asked to discuss the merits of historical costs vs. replacement costs.  Actual note disclosure from a company’s financial statements is provided as background material.</w:t>
      </w:r>
    </w:p>
    <w:p w14:paraId="5E441B1D" w14:textId="77777777" w:rsidR="00931CCC" w:rsidRDefault="00931CCC">
      <w:pPr>
        <w:pStyle w:val="BodyText"/>
        <w:rPr>
          <w:rFonts w:cs="Arial"/>
          <w:b/>
          <w:bCs/>
        </w:rPr>
      </w:pPr>
    </w:p>
    <w:p w14:paraId="5E441B1E" w14:textId="77777777" w:rsidR="00931CCC" w:rsidRDefault="00931CCC">
      <w:pPr>
        <w:pStyle w:val="BodyText"/>
        <w:rPr>
          <w:rFonts w:cs="Arial"/>
          <w:b/>
          <w:bCs/>
          <w:lang w:val="en-GB"/>
        </w:rPr>
      </w:pPr>
      <w:r>
        <w:rPr>
          <w:rFonts w:cs="Arial"/>
          <w:b/>
          <w:bCs/>
          <w:lang w:val="en-GB"/>
        </w:rPr>
        <w:t xml:space="preserve">Case 1-3  </w:t>
      </w:r>
      <w:r>
        <w:rPr>
          <w:rFonts w:cs="Arial"/>
          <w:lang w:val="en-GB"/>
        </w:rPr>
        <w:t>(adapted from a case prepared by Peter Secord, Saint Mary’s University)</w:t>
      </w:r>
    </w:p>
    <w:p w14:paraId="5E441B1F" w14:textId="77777777" w:rsidR="00931CCC" w:rsidRDefault="00931CCC">
      <w:pPr>
        <w:pStyle w:val="BodyText"/>
        <w:rPr>
          <w:rFonts w:cs="Arial"/>
          <w:lang w:val="en-GB"/>
        </w:rPr>
      </w:pPr>
      <w:r>
        <w:rPr>
          <w:rFonts w:cs="Arial"/>
          <w:lang w:val="en-GB"/>
        </w:rPr>
        <w:t xml:space="preserve">A Canadian company has just acquired a non-controlling interest in a U.S. public company. It must decide whether to use </w:t>
      </w:r>
      <w:r w:rsidR="007F2533">
        <w:rPr>
          <w:rFonts w:cs="Arial"/>
          <w:lang w:val="en-GB"/>
        </w:rPr>
        <w:t>IFRS</w:t>
      </w:r>
      <w:r>
        <w:rPr>
          <w:rFonts w:cs="Arial"/>
          <w:lang w:val="en-GB"/>
        </w:rPr>
        <w:t xml:space="preserve"> or U.S. GAAP for the U.S. subsidiary. Financial statement information is provided under </w:t>
      </w:r>
      <w:r w:rsidR="007F2533">
        <w:rPr>
          <w:rFonts w:cs="Arial"/>
          <w:lang w:val="en-GB"/>
        </w:rPr>
        <w:t>IFRS</w:t>
      </w:r>
      <w:r>
        <w:rPr>
          <w:rFonts w:cs="Arial"/>
          <w:lang w:val="en-GB"/>
        </w:rPr>
        <w:t xml:space="preserve"> and U.S. GAAP.  The reasons for some of the differences in numbers must be explained and an opinion provided as to which method best reflects economic reality.</w:t>
      </w:r>
    </w:p>
    <w:p w14:paraId="5E441B20" w14:textId="77777777" w:rsidR="00931CCC" w:rsidRDefault="00931CCC">
      <w:pPr>
        <w:pStyle w:val="BodyText"/>
        <w:rPr>
          <w:rFonts w:cs="Arial"/>
          <w:lang w:val="en-GB"/>
        </w:rPr>
      </w:pPr>
    </w:p>
    <w:p w14:paraId="5E441B21" w14:textId="77777777" w:rsidR="00931CCC" w:rsidRDefault="00931CCC">
      <w:pPr>
        <w:pStyle w:val="BodyText"/>
        <w:rPr>
          <w:rFonts w:cs="Arial"/>
          <w:b/>
          <w:lang w:val="en-GB"/>
        </w:rPr>
      </w:pPr>
      <w:r>
        <w:rPr>
          <w:rFonts w:cs="Arial"/>
          <w:b/>
          <w:lang w:val="en-GB"/>
        </w:rPr>
        <w:t>Case 1-4</w:t>
      </w:r>
    </w:p>
    <w:p w14:paraId="5E441B22" w14:textId="77777777" w:rsidR="00931CCC" w:rsidRDefault="00931CCC">
      <w:pPr>
        <w:pStyle w:val="BodyText"/>
        <w:rPr>
          <w:rFonts w:cs="Arial"/>
          <w:lang w:val="en-GB"/>
        </w:rPr>
      </w:pPr>
      <w:r>
        <w:rPr>
          <w:rFonts w:cs="Arial"/>
          <w:lang w:val="en-GB"/>
        </w:rPr>
        <w:t xml:space="preserve">This case is adapted from a </w:t>
      </w:r>
      <w:r w:rsidR="00EB0DAF">
        <w:rPr>
          <w:rFonts w:cs="Arial"/>
          <w:lang w:val="en-GB"/>
        </w:rPr>
        <w:t>CPA Canada</w:t>
      </w:r>
      <w:r>
        <w:rPr>
          <w:rFonts w:cs="Arial"/>
          <w:lang w:val="en-GB"/>
        </w:rPr>
        <w:t xml:space="preserve"> case.  A private company is planning to go public. Analysis and recommendations are required for accounting issues related to purchase and installation of new information system, revenue recognition, convertible debentures and doubtful accounts receivable.</w:t>
      </w:r>
    </w:p>
    <w:p w14:paraId="5E441B23" w14:textId="77777777" w:rsidR="00931CCC" w:rsidRDefault="00931CCC">
      <w:pPr>
        <w:pStyle w:val="BodyText"/>
        <w:rPr>
          <w:rFonts w:cs="Arial"/>
          <w:highlight w:val="yellow"/>
        </w:rPr>
      </w:pPr>
    </w:p>
    <w:p w14:paraId="5E441B24" w14:textId="77777777" w:rsidR="00D82D79" w:rsidRDefault="00D82D79" w:rsidP="00D82D79">
      <w:pPr>
        <w:pStyle w:val="BodyText"/>
        <w:rPr>
          <w:rFonts w:cs="Arial"/>
          <w:b/>
          <w:lang w:val="en-GB"/>
        </w:rPr>
      </w:pPr>
      <w:r>
        <w:rPr>
          <w:rFonts w:cs="Arial"/>
          <w:b/>
          <w:lang w:val="en-GB"/>
        </w:rPr>
        <w:t>Case 1-5</w:t>
      </w:r>
    </w:p>
    <w:p w14:paraId="5E441B25" w14:textId="591D8FEC" w:rsidR="00D82D79" w:rsidRDefault="00D82D79" w:rsidP="00D82D79">
      <w:pPr>
        <w:pStyle w:val="BodyText"/>
        <w:rPr>
          <w:rFonts w:cs="Arial"/>
          <w:lang w:val="en-GB"/>
        </w:rPr>
      </w:pPr>
      <w:r>
        <w:rPr>
          <w:rFonts w:cs="Arial"/>
          <w:lang w:val="en-GB"/>
        </w:rPr>
        <w:t xml:space="preserve">This case is adapted from a CPA Canada case.  A private company is planning to transition from ASPE to </w:t>
      </w:r>
      <w:r w:rsidR="007F2533">
        <w:rPr>
          <w:rFonts w:cs="Arial"/>
          <w:lang w:val="en-GB"/>
        </w:rPr>
        <w:t>IFRS</w:t>
      </w:r>
      <w:r>
        <w:rPr>
          <w:rFonts w:cs="Arial"/>
          <w:lang w:val="en-GB"/>
        </w:rPr>
        <w:t xml:space="preserve">. Analysis and recommendations are required for accounting issues related to convertible debentures, </w:t>
      </w:r>
      <w:r w:rsidR="00A84D4B">
        <w:rPr>
          <w:rFonts w:cs="Arial"/>
          <w:lang w:val="en-GB"/>
        </w:rPr>
        <w:t>unusual</w:t>
      </w:r>
      <w:r>
        <w:rPr>
          <w:rFonts w:cs="Arial"/>
          <w:lang w:val="en-GB"/>
        </w:rPr>
        <w:t xml:space="preserve"> item, revenue recognition, contingency and impairment.</w:t>
      </w:r>
    </w:p>
    <w:p w14:paraId="168C6E7E" w14:textId="77777777" w:rsidR="00625939" w:rsidRDefault="00625939">
      <w:pPr>
        <w:pStyle w:val="BodyText"/>
        <w:rPr>
          <w:rFonts w:cs="Arial"/>
          <w:sz w:val="28"/>
          <w:lang w:val="en-GB"/>
        </w:rPr>
      </w:pPr>
      <w:bookmarkStart w:id="0" w:name="_GoBack"/>
      <w:bookmarkEnd w:id="0"/>
    </w:p>
    <w:p w14:paraId="1D4D7813" w14:textId="77777777" w:rsidR="00625939" w:rsidRDefault="00625939">
      <w:pPr>
        <w:rPr>
          <w:rFonts w:cs="Arial"/>
          <w:sz w:val="28"/>
          <w:lang w:val="en-GB"/>
        </w:rPr>
      </w:pPr>
      <w:r>
        <w:rPr>
          <w:rFonts w:cs="Arial"/>
          <w:sz w:val="28"/>
          <w:lang w:val="en-GB"/>
        </w:rPr>
        <w:br w:type="page"/>
      </w:r>
    </w:p>
    <w:p w14:paraId="5E441B27" w14:textId="2477A6FA" w:rsidR="00931CCC" w:rsidRDefault="00931CCC">
      <w:pPr>
        <w:pStyle w:val="BodyText"/>
        <w:rPr>
          <w:rFonts w:cs="Arial"/>
          <w:sz w:val="28"/>
          <w:lang w:val="en-GB"/>
        </w:rPr>
      </w:pPr>
      <w:r>
        <w:rPr>
          <w:rFonts w:cs="Arial"/>
          <w:sz w:val="28"/>
          <w:lang w:val="en-GB"/>
        </w:rPr>
        <w:lastRenderedPageBreak/>
        <w:t>PROBLEMS</w:t>
      </w:r>
    </w:p>
    <w:p w14:paraId="5E441B28" w14:textId="77777777" w:rsidR="00EB34D3" w:rsidRDefault="00EB34D3">
      <w:pPr>
        <w:spacing w:line="360" w:lineRule="auto"/>
        <w:jc w:val="both"/>
        <w:rPr>
          <w:rFonts w:cs="Arial"/>
          <w:b/>
          <w:bCs/>
          <w:lang w:val="en-GB"/>
        </w:rPr>
      </w:pPr>
    </w:p>
    <w:p w14:paraId="5E441B29" w14:textId="77777777" w:rsidR="00931CCC" w:rsidRDefault="00931CCC">
      <w:pPr>
        <w:spacing w:line="360" w:lineRule="auto"/>
        <w:jc w:val="both"/>
        <w:rPr>
          <w:rFonts w:cs="Arial"/>
          <w:lang w:val="en-GB"/>
        </w:rPr>
      </w:pPr>
      <w:r>
        <w:rPr>
          <w:rFonts w:cs="Arial"/>
          <w:b/>
          <w:bCs/>
          <w:lang w:val="en-GB"/>
        </w:rPr>
        <w:t xml:space="preserve">Problem 1-1    </w:t>
      </w:r>
      <w:r>
        <w:rPr>
          <w:rFonts w:cs="Arial"/>
          <w:lang w:val="en-GB"/>
        </w:rPr>
        <w:t>(40 min.)</w:t>
      </w:r>
    </w:p>
    <w:p w14:paraId="5E441B2A" w14:textId="46C0F072" w:rsidR="00931CCC" w:rsidRDefault="00931CCC">
      <w:pPr>
        <w:pStyle w:val="BodyText"/>
        <w:rPr>
          <w:rFonts w:cs="Arial"/>
          <w:highlight w:val="yellow"/>
          <w:lang w:val="en-GB"/>
        </w:rPr>
      </w:pPr>
      <w:r>
        <w:rPr>
          <w:rFonts w:cs="Arial"/>
          <w:lang w:val="en-GB"/>
        </w:rPr>
        <w:t xml:space="preserve">A single asset is </w:t>
      </w:r>
      <w:r w:rsidR="00AE13FE">
        <w:rPr>
          <w:rFonts w:cs="Arial"/>
          <w:lang w:val="en-GB"/>
        </w:rPr>
        <w:t>acquired. Students</w:t>
      </w:r>
      <w:r>
        <w:rPr>
          <w:rFonts w:cs="Arial"/>
          <w:lang w:val="en-GB"/>
        </w:rPr>
        <w:t xml:space="preserve"> are asked to prepare and compare financial statement numbers during the life of the asset using both a historical cost and a current value model. </w:t>
      </w:r>
    </w:p>
    <w:p w14:paraId="5E441B2B" w14:textId="77777777" w:rsidR="00931CCC" w:rsidRDefault="00931CCC">
      <w:pPr>
        <w:pStyle w:val="sectitle"/>
        <w:widowControl/>
        <w:spacing w:line="360" w:lineRule="auto"/>
        <w:jc w:val="both"/>
        <w:rPr>
          <w:rFonts w:cs="Arial"/>
          <w:sz w:val="22"/>
          <w:szCs w:val="22"/>
          <w:highlight w:val="yellow"/>
          <w:lang w:val="en-GB"/>
        </w:rPr>
      </w:pPr>
    </w:p>
    <w:p w14:paraId="5E441B2C" w14:textId="77777777" w:rsidR="00931CCC" w:rsidRDefault="00931CCC">
      <w:pPr>
        <w:spacing w:line="360" w:lineRule="auto"/>
        <w:jc w:val="both"/>
        <w:rPr>
          <w:rFonts w:cs="Arial"/>
          <w:lang w:val="en-GB"/>
        </w:rPr>
      </w:pPr>
      <w:r>
        <w:rPr>
          <w:rFonts w:cs="Arial"/>
          <w:b/>
          <w:bCs/>
          <w:lang w:val="en-GB"/>
        </w:rPr>
        <w:t xml:space="preserve">Problem 1-2    </w:t>
      </w:r>
      <w:r>
        <w:rPr>
          <w:rFonts w:cs="Arial"/>
          <w:lang w:val="en-GB"/>
        </w:rPr>
        <w:t>(40 min.)</w:t>
      </w:r>
    </w:p>
    <w:p w14:paraId="5E441B2D" w14:textId="77777777" w:rsidR="00931CCC" w:rsidRDefault="00931CCC">
      <w:pPr>
        <w:pStyle w:val="sectitle"/>
        <w:widowControl/>
        <w:spacing w:line="360" w:lineRule="auto"/>
        <w:jc w:val="both"/>
        <w:rPr>
          <w:rFonts w:cs="Arial"/>
          <w:b w:val="0"/>
          <w:bCs/>
          <w:sz w:val="22"/>
          <w:highlight w:val="yellow"/>
          <w:lang w:val="en-CA"/>
        </w:rPr>
      </w:pPr>
      <w:r>
        <w:rPr>
          <w:rFonts w:cs="Arial"/>
          <w:b w:val="0"/>
          <w:bCs/>
          <w:sz w:val="22"/>
          <w:lang w:val="en-GB"/>
        </w:rPr>
        <w:t xml:space="preserve">Details of a European company that reports using </w:t>
      </w:r>
      <w:r w:rsidR="007F2533">
        <w:rPr>
          <w:rFonts w:cs="Arial"/>
          <w:b w:val="0"/>
          <w:bCs/>
          <w:sz w:val="22"/>
          <w:lang w:val="en-GB"/>
        </w:rPr>
        <w:t>IFRS</w:t>
      </w:r>
      <w:r>
        <w:rPr>
          <w:rFonts w:cs="Arial"/>
          <w:b w:val="0"/>
          <w:bCs/>
          <w:sz w:val="22"/>
          <w:lang w:val="en-GB"/>
        </w:rPr>
        <w:t xml:space="preserve"> are given along with specific details relating to certain account balances.  Students are asked to show how these balances should be reported under 1)</w:t>
      </w:r>
      <w:r w:rsidR="00D82D79" w:rsidDel="00D82D79">
        <w:rPr>
          <w:rFonts w:cs="Arial"/>
          <w:b w:val="0"/>
          <w:bCs/>
          <w:sz w:val="22"/>
          <w:lang w:val="en-GB"/>
        </w:rPr>
        <w:t xml:space="preserve"> </w:t>
      </w:r>
      <w:r w:rsidR="00D82D79">
        <w:rPr>
          <w:rFonts w:cs="Arial"/>
          <w:b w:val="0"/>
          <w:bCs/>
          <w:sz w:val="22"/>
          <w:lang w:val="en-GB"/>
        </w:rPr>
        <w:t>ASPE</w:t>
      </w:r>
      <w:r>
        <w:rPr>
          <w:rFonts w:cs="Arial"/>
          <w:b w:val="0"/>
          <w:bCs/>
          <w:sz w:val="22"/>
          <w:lang w:val="en-GB"/>
        </w:rPr>
        <w:t xml:space="preserve"> and 2) </w:t>
      </w:r>
      <w:r w:rsidR="007F2533">
        <w:rPr>
          <w:rFonts w:cs="Arial"/>
          <w:b w:val="0"/>
          <w:bCs/>
          <w:sz w:val="22"/>
          <w:lang w:val="en-GB"/>
        </w:rPr>
        <w:t>IFRS</w:t>
      </w:r>
      <w:r>
        <w:rPr>
          <w:rFonts w:cs="Arial"/>
          <w:b w:val="0"/>
          <w:bCs/>
          <w:sz w:val="22"/>
          <w:lang w:val="en-GB"/>
        </w:rPr>
        <w:t xml:space="preserve"> using the facts provided.  Students are also asked to reconcile Net Income and Shareholders` Equity from </w:t>
      </w:r>
      <w:r w:rsidR="007F2533">
        <w:rPr>
          <w:rFonts w:cs="Arial"/>
          <w:b w:val="0"/>
          <w:bCs/>
          <w:sz w:val="22"/>
          <w:lang w:val="en-GB"/>
        </w:rPr>
        <w:t>IFRS</w:t>
      </w:r>
      <w:r>
        <w:rPr>
          <w:rFonts w:cs="Arial"/>
          <w:b w:val="0"/>
          <w:bCs/>
          <w:sz w:val="22"/>
          <w:lang w:val="en-GB"/>
        </w:rPr>
        <w:t xml:space="preserve"> to </w:t>
      </w:r>
      <w:r w:rsidR="00D82D79">
        <w:rPr>
          <w:rFonts w:cs="Arial"/>
          <w:b w:val="0"/>
          <w:bCs/>
          <w:sz w:val="22"/>
          <w:lang w:val="en-GB"/>
        </w:rPr>
        <w:t>ASPE</w:t>
      </w:r>
      <w:r>
        <w:rPr>
          <w:rFonts w:cs="Arial"/>
          <w:b w:val="0"/>
          <w:bCs/>
          <w:sz w:val="22"/>
          <w:lang w:val="en-GB"/>
        </w:rPr>
        <w:t>.</w:t>
      </w:r>
    </w:p>
    <w:p w14:paraId="5E441B2E" w14:textId="77777777" w:rsidR="00931CCC" w:rsidRDefault="00931CCC">
      <w:pPr>
        <w:spacing w:line="360" w:lineRule="auto"/>
        <w:jc w:val="both"/>
        <w:rPr>
          <w:rFonts w:cs="Arial"/>
          <w:b/>
          <w:bCs/>
          <w:lang w:val="en-GB"/>
        </w:rPr>
      </w:pPr>
    </w:p>
    <w:p w14:paraId="5E441B2F" w14:textId="77777777" w:rsidR="00931CCC" w:rsidRDefault="00931CCC">
      <w:pPr>
        <w:spacing w:line="360" w:lineRule="auto"/>
        <w:jc w:val="both"/>
        <w:rPr>
          <w:rFonts w:cs="Arial"/>
          <w:lang w:val="en-GB"/>
        </w:rPr>
      </w:pPr>
      <w:r>
        <w:rPr>
          <w:rFonts w:cs="Arial"/>
          <w:b/>
          <w:bCs/>
          <w:lang w:val="en-GB"/>
        </w:rPr>
        <w:t xml:space="preserve">Problem 1-3    </w:t>
      </w:r>
      <w:r>
        <w:rPr>
          <w:rFonts w:cs="Arial"/>
          <w:lang w:val="en-GB"/>
        </w:rPr>
        <w:t>(50 min.)</w:t>
      </w:r>
    </w:p>
    <w:p w14:paraId="5E441B30" w14:textId="77777777" w:rsidR="00931CCC" w:rsidRDefault="00931CCC">
      <w:pPr>
        <w:pStyle w:val="sectitle"/>
        <w:widowControl/>
        <w:spacing w:line="360" w:lineRule="auto"/>
        <w:jc w:val="both"/>
        <w:rPr>
          <w:rFonts w:cs="Arial"/>
          <w:b w:val="0"/>
          <w:bCs/>
          <w:sz w:val="22"/>
          <w:lang w:val="en-GB"/>
        </w:rPr>
      </w:pPr>
      <w:r>
        <w:rPr>
          <w:rFonts w:cs="Arial"/>
          <w:b w:val="0"/>
          <w:bCs/>
          <w:sz w:val="22"/>
          <w:lang w:val="en-GB"/>
        </w:rPr>
        <w:t xml:space="preserve">A private company plans to convert to </w:t>
      </w:r>
      <w:r w:rsidR="007F2533">
        <w:rPr>
          <w:rFonts w:cs="Arial"/>
          <w:b w:val="0"/>
          <w:bCs/>
          <w:sz w:val="22"/>
          <w:lang w:val="en-GB"/>
        </w:rPr>
        <w:t>IFRS</w:t>
      </w:r>
      <w:r>
        <w:rPr>
          <w:rFonts w:cs="Arial"/>
          <w:b w:val="0"/>
          <w:bCs/>
          <w:sz w:val="22"/>
          <w:lang w:val="en-GB"/>
        </w:rPr>
        <w:t xml:space="preserve"> go public within 5 years. It wants to know the impact on net income and shareholders’ equity if it converts from ASPE to </w:t>
      </w:r>
      <w:r w:rsidR="007F2533">
        <w:rPr>
          <w:rFonts w:cs="Arial"/>
          <w:b w:val="0"/>
          <w:bCs/>
          <w:sz w:val="22"/>
          <w:lang w:val="en-GB"/>
        </w:rPr>
        <w:t>IFRS</w:t>
      </w:r>
      <w:r>
        <w:rPr>
          <w:rFonts w:cs="Arial"/>
          <w:b w:val="0"/>
          <w:bCs/>
          <w:sz w:val="22"/>
          <w:lang w:val="en-GB"/>
        </w:rPr>
        <w:t xml:space="preserve"> for impaired loans, interest costs, actuarial gains, compound financial instrument and income taxes.</w:t>
      </w:r>
    </w:p>
    <w:p w14:paraId="5E441B31" w14:textId="77777777" w:rsidR="00931CCC" w:rsidRDefault="00931CCC">
      <w:pPr>
        <w:spacing w:line="360" w:lineRule="auto"/>
        <w:jc w:val="both"/>
        <w:rPr>
          <w:rFonts w:cs="Arial"/>
          <w:b/>
          <w:bCs/>
          <w:lang w:val="en-GB"/>
        </w:rPr>
      </w:pPr>
    </w:p>
    <w:p w14:paraId="5E441B32" w14:textId="72D51E6D" w:rsidR="00931CCC" w:rsidRDefault="00931CCC">
      <w:pPr>
        <w:spacing w:line="360" w:lineRule="auto"/>
        <w:jc w:val="both"/>
        <w:rPr>
          <w:rFonts w:cs="Arial"/>
          <w:lang w:val="en-GB"/>
        </w:rPr>
      </w:pPr>
      <w:r>
        <w:rPr>
          <w:rFonts w:cs="Arial"/>
          <w:b/>
          <w:bCs/>
          <w:lang w:val="en-GB"/>
        </w:rPr>
        <w:t xml:space="preserve">Problem 1-4    </w:t>
      </w:r>
      <w:r>
        <w:rPr>
          <w:rFonts w:cs="Arial"/>
          <w:lang w:val="en-GB"/>
        </w:rPr>
        <w:t>(</w:t>
      </w:r>
      <w:r w:rsidR="003935F0">
        <w:rPr>
          <w:rFonts w:cs="Arial"/>
          <w:lang w:val="en-GB"/>
        </w:rPr>
        <w:t>5</w:t>
      </w:r>
      <w:r>
        <w:rPr>
          <w:rFonts w:cs="Arial"/>
          <w:lang w:val="en-GB"/>
        </w:rPr>
        <w:t>0 min.)</w:t>
      </w:r>
    </w:p>
    <w:p w14:paraId="5E441B33" w14:textId="30B58730" w:rsidR="00931CCC" w:rsidRDefault="005C74E9">
      <w:pPr>
        <w:pStyle w:val="sectitle"/>
        <w:widowControl/>
        <w:spacing w:line="360" w:lineRule="auto"/>
        <w:jc w:val="both"/>
        <w:rPr>
          <w:rFonts w:cs="Arial"/>
          <w:b w:val="0"/>
          <w:bCs/>
          <w:sz w:val="22"/>
          <w:lang w:val="en-GB"/>
        </w:rPr>
      </w:pPr>
      <w:r>
        <w:rPr>
          <w:rFonts w:cs="Arial"/>
          <w:b w:val="0"/>
          <w:bCs/>
          <w:sz w:val="22"/>
          <w:lang w:val="en-GB"/>
        </w:rPr>
        <w:t xml:space="preserve">While taking the role of a financial analyst, the student uses vertical and horizontal analysis </w:t>
      </w:r>
      <w:r w:rsidR="003935F0">
        <w:rPr>
          <w:rFonts w:cs="Arial"/>
          <w:b w:val="0"/>
          <w:bCs/>
          <w:sz w:val="22"/>
          <w:lang w:val="en-GB"/>
        </w:rPr>
        <w:t>and ratios to analyse and interpret the profitability, solvency and liquidity of a private company.</w:t>
      </w:r>
    </w:p>
    <w:p w14:paraId="5E441B34" w14:textId="77777777" w:rsidR="00931CCC" w:rsidRDefault="00931CCC">
      <w:pPr>
        <w:spacing w:line="360" w:lineRule="auto"/>
        <w:jc w:val="both"/>
        <w:rPr>
          <w:rFonts w:cs="Arial"/>
          <w:lang w:val="en-GB"/>
        </w:rPr>
      </w:pPr>
    </w:p>
    <w:p w14:paraId="5E441B35" w14:textId="77777777" w:rsidR="00D82D79" w:rsidRDefault="00D82D79" w:rsidP="00D82D79">
      <w:pPr>
        <w:spacing w:line="360" w:lineRule="auto"/>
        <w:jc w:val="both"/>
        <w:rPr>
          <w:rFonts w:cs="Arial"/>
          <w:lang w:val="en-GB"/>
        </w:rPr>
      </w:pPr>
      <w:r>
        <w:rPr>
          <w:rFonts w:cs="Arial"/>
          <w:b/>
          <w:bCs/>
          <w:lang w:val="en-GB"/>
        </w:rPr>
        <w:t xml:space="preserve">Problem 1-5    </w:t>
      </w:r>
      <w:r>
        <w:rPr>
          <w:rFonts w:cs="Arial"/>
          <w:lang w:val="en-GB"/>
        </w:rPr>
        <w:t>(</w:t>
      </w:r>
      <w:r w:rsidR="001E35EA">
        <w:rPr>
          <w:rFonts w:cs="Arial"/>
          <w:lang w:val="en-GB"/>
        </w:rPr>
        <w:t>25</w:t>
      </w:r>
      <w:r>
        <w:rPr>
          <w:rFonts w:cs="Arial"/>
          <w:lang w:val="en-GB"/>
        </w:rPr>
        <w:t xml:space="preserve"> min.)</w:t>
      </w:r>
    </w:p>
    <w:p w14:paraId="5E441B36" w14:textId="77777777" w:rsidR="00D82D79" w:rsidRDefault="00D82D79" w:rsidP="006F3822">
      <w:pPr>
        <w:pStyle w:val="bcepqlnfirst"/>
        <w:widowControl/>
        <w:tabs>
          <w:tab w:val="clear" w:pos="250"/>
          <w:tab w:val="clear" w:pos="480"/>
        </w:tabs>
        <w:spacing w:line="360" w:lineRule="auto"/>
        <w:ind w:left="0" w:firstLine="0"/>
        <w:rPr>
          <w:rFonts w:cs="Arial"/>
          <w:bCs/>
          <w:sz w:val="22"/>
          <w:lang w:val="en-GB"/>
        </w:rPr>
      </w:pPr>
      <w:r w:rsidRPr="001E35EA">
        <w:rPr>
          <w:rFonts w:ascii="Arial" w:hAnsi="Arial" w:cs="Arial"/>
          <w:bCs/>
          <w:snapToGrid w:val="0"/>
          <w:color w:val="auto"/>
          <w:sz w:val="22"/>
          <w:lang w:val="en-GB" w:eastAsia="en-US" w:bidi="ar-SA"/>
        </w:rPr>
        <w:t xml:space="preserve">A private company plans to convert to </w:t>
      </w:r>
      <w:r w:rsidR="007F2533">
        <w:rPr>
          <w:rFonts w:ascii="Arial" w:hAnsi="Arial" w:cs="Arial"/>
          <w:bCs/>
          <w:snapToGrid w:val="0"/>
          <w:color w:val="auto"/>
          <w:sz w:val="22"/>
          <w:lang w:val="en-GB" w:eastAsia="en-US" w:bidi="ar-SA"/>
        </w:rPr>
        <w:t>IFRS</w:t>
      </w:r>
      <w:r w:rsidRPr="001E35EA">
        <w:rPr>
          <w:rFonts w:ascii="Arial" w:hAnsi="Arial" w:cs="Arial"/>
          <w:bCs/>
          <w:snapToGrid w:val="0"/>
          <w:color w:val="auto"/>
          <w:sz w:val="22"/>
          <w:lang w:val="en-GB" w:eastAsia="en-US" w:bidi="ar-SA"/>
        </w:rPr>
        <w:t xml:space="preserve">. It wants to know the impact on </w:t>
      </w:r>
      <w:r w:rsidR="001E35EA" w:rsidRPr="001E35EA">
        <w:rPr>
          <w:rFonts w:ascii="Arial" w:hAnsi="Arial" w:cs="Arial"/>
          <w:bCs/>
          <w:snapToGrid w:val="0"/>
          <w:color w:val="auto"/>
          <w:sz w:val="22"/>
          <w:lang w:val="en-GB" w:eastAsia="en-US" w:bidi="ar-SA"/>
        </w:rPr>
        <w:t>three key ratios</w:t>
      </w:r>
      <w:r w:rsidRPr="001E35EA">
        <w:rPr>
          <w:rFonts w:ascii="Arial" w:hAnsi="Arial" w:cs="Arial"/>
          <w:bCs/>
          <w:snapToGrid w:val="0"/>
          <w:color w:val="auto"/>
          <w:sz w:val="22"/>
          <w:lang w:val="en-GB" w:eastAsia="en-US" w:bidi="ar-SA"/>
        </w:rPr>
        <w:t xml:space="preserve"> if it converts from ASPE to </w:t>
      </w:r>
      <w:r w:rsidR="007F2533">
        <w:rPr>
          <w:rFonts w:ascii="Arial" w:hAnsi="Arial" w:cs="Arial"/>
          <w:bCs/>
          <w:snapToGrid w:val="0"/>
          <w:color w:val="auto"/>
          <w:sz w:val="22"/>
          <w:lang w:val="en-GB" w:eastAsia="en-US" w:bidi="ar-SA"/>
        </w:rPr>
        <w:t>IFRS</w:t>
      </w:r>
      <w:r w:rsidRPr="001E35EA">
        <w:rPr>
          <w:rFonts w:ascii="Arial" w:hAnsi="Arial" w:cs="Arial"/>
          <w:bCs/>
          <w:snapToGrid w:val="0"/>
          <w:color w:val="auto"/>
          <w:sz w:val="22"/>
          <w:lang w:val="en-GB" w:eastAsia="en-US" w:bidi="ar-SA"/>
        </w:rPr>
        <w:t xml:space="preserve"> for </w:t>
      </w:r>
      <w:r w:rsidR="001E35EA">
        <w:rPr>
          <w:rFonts w:ascii="Arial" w:hAnsi="Arial" w:cs="Arial"/>
          <w:bCs/>
          <w:snapToGrid w:val="0"/>
          <w:color w:val="auto"/>
          <w:sz w:val="22"/>
          <w:lang w:val="en-GB" w:eastAsia="en-US" w:bidi="ar-SA"/>
        </w:rPr>
        <w:t>i</w:t>
      </w:r>
      <w:r w:rsidR="001E35EA" w:rsidRPr="006F3822">
        <w:rPr>
          <w:rFonts w:ascii="Arial" w:hAnsi="Arial" w:cs="Arial"/>
          <w:bCs/>
          <w:snapToGrid w:val="0"/>
          <w:color w:val="auto"/>
          <w:sz w:val="22"/>
          <w:lang w:val="en-GB" w:eastAsia="en-US" w:bidi="ar-SA"/>
        </w:rPr>
        <w:t>mpaired loans</w:t>
      </w:r>
      <w:r w:rsidR="001E35EA">
        <w:rPr>
          <w:rFonts w:ascii="Arial" w:hAnsi="Arial" w:cs="Arial"/>
          <w:bCs/>
          <w:snapToGrid w:val="0"/>
          <w:color w:val="auto"/>
          <w:sz w:val="22"/>
          <w:lang w:val="en-GB" w:eastAsia="en-US" w:bidi="ar-SA"/>
        </w:rPr>
        <w:t>, c</w:t>
      </w:r>
      <w:r w:rsidR="001E35EA" w:rsidRPr="006F3822">
        <w:rPr>
          <w:rFonts w:ascii="Arial" w:hAnsi="Arial" w:cs="Arial"/>
          <w:bCs/>
          <w:snapToGrid w:val="0"/>
          <w:color w:val="auto"/>
          <w:sz w:val="22"/>
          <w:lang w:val="en-GB" w:eastAsia="en-US" w:bidi="ar-SA"/>
        </w:rPr>
        <w:t>apitalization of interest</w:t>
      </w:r>
      <w:r w:rsidR="001E35EA">
        <w:rPr>
          <w:rFonts w:ascii="Arial" w:hAnsi="Arial" w:cs="Arial"/>
          <w:bCs/>
          <w:snapToGrid w:val="0"/>
          <w:color w:val="auto"/>
          <w:sz w:val="22"/>
          <w:lang w:val="en-GB" w:eastAsia="en-US" w:bidi="ar-SA"/>
        </w:rPr>
        <w:t xml:space="preserve"> and </w:t>
      </w:r>
      <w:r w:rsidR="001E35EA">
        <w:rPr>
          <w:rFonts w:ascii="Arial" w:hAnsi="Arial" w:cs="Arial"/>
          <w:bCs/>
          <w:color w:val="auto"/>
          <w:sz w:val="22"/>
          <w:lang w:val="en-GB"/>
        </w:rPr>
        <w:t>a</w:t>
      </w:r>
      <w:r w:rsidR="001E35EA" w:rsidRPr="006F3822">
        <w:rPr>
          <w:rFonts w:ascii="Arial" w:hAnsi="Arial" w:cs="Arial"/>
          <w:bCs/>
          <w:color w:val="auto"/>
          <w:sz w:val="22"/>
          <w:lang w:val="en-GB"/>
        </w:rPr>
        <w:t>ctuarial gains/losses</w:t>
      </w:r>
      <w:r w:rsidR="001E35EA">
        <w:rPr>
          <w:rFonts w:ascii="Arial" w:hAnsi="Arial" w:cs="Arial"/>
          <w:bCs/>
          <w:color w:val="auto"/>
          <w:sz w:val="22"/>
          <w:lang w:val="en-GB"/>
        </w:rPr>
        <w:t>.</w:t>
      </w:r>
      <w:r w:rsidR="001E35EA">
        <w:rPr>
          <w:rFonts w:cs="Arial"/>
          <w:b/>
          <w:bCs/>
          <w:sz w:val="22"/>
          <w:lang w:val="en-GB"/>
        </w:rPr>
        <w:t xml:space="preserve"> </w:t>
      </w:r>
    </w:p>
    <w:p w14:paraId="5E441B37" w14:textId="77777777" w:rsidR="00D82D79" w:rsidRDefault="00D82D79" w:rsidP="00D82D79">
      <w:pPr>
        <w:spacing w:line="360" w:lineRule="auto"/>
        <w:jc w:val="both"/>
        <w:rPr>
          <w:rFonts w:cs="Arial"/>
          <w:b/>
          <w:bCs/>
          <w:lang w:val="en-GB"/>
        </w:rPr>
      </w:pPr>
    </w:p>
    <w:p w14:paraId="5E441B38" w14:textId="77777777" w:rsidR="00D82D79" w:rsidRDefault="00D82D79" w:rsidP="00D82D79">
      <w:pPr>
        <w:spacing w:line="360" w:lineRule="auto"/>
        <w:jc w:val="both"/>
        <w:rPr>
          <w:rFonts w:cs="Arial"/>
          <w:lang w:val="en-GB"/>
        </w:rPr>
      </w:pPr>
      <w:r>
        <w:rPr>
          <w:rFonts w:cs="Arial"/>
          <w:b/>
          <w:bCs/>
          <w:lang w:val="en-GB"/>
        </w:rPr>
        <w:t>Problem 1-</w:t>
      </w:r>
      <w:r w:rsidR="001E35EA">
        <w:rPr>
          <w:rFonts w:cs="Arial"/>
          <w:b/>
          <w:bCs/>
          <w:lang w:val="en-GB"/>
        </w:rPr>
        <w:t>6</w:t>
      </w:r>
      <w:r>
        <w:rPr>
          <w:rFonts w:cs="Arial"/>
          <w:b/>
          <w:bCs/>
          <w:lang w:val="en-GB"/>
        </w:rPr>
        <w:t xml:space="preserve">    </w:t>
      </w:r>
      <w:r w:rsidR="001E35EA">
        <w:rPr>
          <w:rFonts w:cs="Arial"/>
          <w:lang w:val="en-GB"/>
        </w:rPr>
        <w:t>(5</w:t>
      </w:r>
      <w:r>
        <w:rPr>
          <w:rFonts w:cs="Arial"/>
          <w:lang w:val="en-GB"/>
        </w:rPr>
        <w:t>0 min.)</w:t>
      </w:r>
    </w:p>
    <w:p w14:paraId="5E441B39" w14:textId="77777777" w:rsidR="00D82D79" w:rsidRDefault="00D82D79" w:rsidP="00D82D79">
      <w:pPr>
        <w:pStyle w:val="sectitle"/>
        <w:widowControl/>
        <w:spacing w:line="360" w:lineRule="auto"/>
        <w:jc w:val="both"/>
        <w:rPr>
          <w:rFonts w:cs="Arial"/>
          <w:b w:val="0"/>
          <w:bCs/>
          <w:sz w:val="22"/>
          <w:lang w:val="en-GB"/>
        </w:rPr>
      </w:pPr>
      <w:r>
        <w:rPr>
          <w:rFonts w:cs="Arial"/>
          <w:b w:val="0"/>
          <w:bCs/>
          <w:sz w:val="22"/>
          <w:lang w:val="en-GB"/>
        </w:rPr>
        <w:t xml:space="preserve">A private company plans to convert </w:t>
      </w:r>
      <w:r w:rsidR="001E35EA">
        <w:rPr>
          <w:rFonts w:cs="Arial"/>
          <w:b w:val="0"/>
          <w:bCs/>
          <w:sz w:val="22"/>
          <w:lang w:val="en-GB"/>
        </w:rPr>
        <w:t xml:space="preserve">from ASPE </w:t>
      </w:r>
      <w:r>
        <w:rPr>
          <w:rFonts w:cs="Arial"/>
          <w:b w:val="0"/>
          <w:bCs/>
          <w:sz w:val="22"/>
          <w:lang w:val="en-GB"/>
        </w:rPr>
        <w:t xml:space="preserve">to </w:t>
      </w:r>
      <w:r w:rsidR="007F2533">
        <w:rPr>
          <w:rFonts w:cs="Arial"/>
          <w:b w:val="0"/>
          <w:bCs/>
          <w:sz w:val="22"/>
          <w:lang w:val="en-GB"/>
        </w:rPr>
        <w:t>IFRS</w:t>
      </w:r>
      <w:r>
        <w:rPr>
          <w:rFonts w:cs="Arial"/>
          <w:b w:val="0"/>
          <w:bCs/>
          <w:sz w:val="22"/>
          <w:lang w:val="en-GB"/>
        </w:rPr>
        <w:t xml:space="preserve"> and wants to know the impact on </w:t>
      </w:r>
      <w:r w:rsidR="001E35EA" w:rsidRPr="0040587B">
        <w:rPr>
          <w:rFonts w:cs="Arial"/>
          <w:b w:val="0"/>
          <w:bCs/>
          <w:sz w:val="22"/>
          <w:lang w:val="en-GB"/>
        </w:rPr>
        <w:t xml:space="preserve">three key ratios if it converts from ASPE to </w:t>
      </w:r>
      <w:r w:rsidR="007F2533">
        <w:rPr>
          <w:rFonts w:cs="Arial"/>
          <w:b w:val="0"/>
          <w:bCs/>
          <w:sz w:val="22"/>
          <w:lang w:val="en-GB"/>
        </w:rPr>
        <w:t>IFRS</w:t>
      </w:r>
      <w:r w:rsidR="001E35EA" w:rsidRPr="0040587B">
        <w:rPr>
          <w:rFonts w:cs="Arial"/>
          <w:b w:val="0"/>
          <w:bCs/>
          <w:sz w:val="22"/>
          <w:lang w:val="en-GB"/>
        </w:rPr>
        <w:t xml:space="preserve"> for </w:t>
      </w:r>
      <w:r w:rsidR="001E35EA">
        <w:rPr>
          <w:rFonts w:cs="Arial"/>
          <w:b w:val="0"/>
          <w:bCs/>
          <w:sz w:val="22"/>
          <w:lang w:val="en-GB"/>
        </w:rPr>
        <w:t>impairment losses, convertible bonds and income taxes.</w:t>
      </w:r>
    </w:p>
    <w:p w14:paraId="5E441B3B" w14:textId="77777777" w:rsidR="00931CCC" w:rsidRDefault="00931CCC">
      <w:pPr>
        <w:pStyle w:val="sectitle"/>
        <w:widowControl/>
        <w:spacing w:line="360" w:lineRule="auto"/>
        <w:jc w:val="both"/>
        <w:rPr>
          <w:rFonts w:cs="Arial"/>
          <w:sz w:val="22"/>
          <w:szCs w:val="22"/>
          <w:lang w:val="en-GB"/>
        </w:rPr>
      </w:pPr>
    </w:p>
    <w:p w14:paraId="7B58DEDF" w14:textId="77777777" w:rsidR="00625939" w:rsidRDefault="00625939">
      <w:pPr>
        <w:rPr>
          <w:rFonts w:cs="Arial"/>
          <w:b/>
          <w:snapToGrid w:val="0"/>
          <w:sz w:val="32"/>
          <w:lang w:val="en-GB"/>
        </w:rPr>
      </w:pPr>
      <w:r>
        <w:rPr>
          <w:rFonts w:cs="Arial"/>
          <w:lang w:val="en-GB"/>
        </w:rPr>
        <w:br w:type="page"/>
      </w:r>
    </w:p>
    <w:p w14:paraId="5E441B3C" w14:textId="40042DAB" w:rsidR="00931CCC" w:rsidRDefault="00931CCC">
      <w:pPr>
        <w:pStyle w:val="sectitle"/>
        <w:widowControl/>
        <w:spacing w:line="360" w:lineRule="auto"/>
        <w:jc w:val="both"/>
        <w:rPr>
          <w:rFonts w:cs="Arial"/>
          <w:lang w:val="en-GB"/>
        </w:rPr>
      </w:pPr>
      <w:r>
        <w:rPr>
          <w:rFonts w:cs="Arial"/>
          <w:lang w:val="en-GB"/>
        </w:rPr>
        <w:lastRenderedPageBreak/>
        <w:t>SOLUTIONS TO REVIEW QUESTIONS</w:t>
      </w:r>
    </w:p>
    <w:p w14:paraId="5E441B3D" w14:textId="77777777" w:rsidR="00931CCC" w:rsidRDefault="00931CCC">
      <w:pPr>
        <w:spacing w:line="360" w:lineRule="auto"/>
        <w:ind w:hanging="360"/>
        <w:jc w:val="both"/>
        <w:rPr>
          <w:rFonts w:cs="Arial"/>
          <w:lang w:val="en-GB"/>
        </w:rPr>
      </w:pPr>
    </w:p>
    <w:p w14:paraId="5E441B3E" w14:textId="77777777" w:rsidR="00931CCC" w:rsidRPr="006F3822" w:rsidDel="003F0E72" w:rsidRDefault="00931CCC" w:rsidP="006F3822">
      <w:pPr>
        <w:pStyle w:val="ListParagraph"/>
        <w:numPr>
          <w:ilvl w:val="0"/>
          <w:numId w:val="49"/>
        </w:numPr>
        <w:spacing w:line="360" w:lineRule="auto"/>
        <w:jc w:val="both"/>
        <w:rPr>
          <w:rFonts w:cs="Arial"/>
          <w:lang w:val="en-GB"/>
        </w:rPr>
      </w:pPr>
      <w:r w:rsidRPr="006F3822" w:rsidDel="003F0E72">
        <w:rPr>
          <w:rFonts w:cs="Arial"/>
          <w:lang w:val="en-GB"/>
        </w:rPr>
        <w:t xml:space="preserve">There are times when </w:t>
      </w:r>
      <w:r w:rsidR="00BE3762">
        <w:rPr>
          <w:rFonts w:cs="Arial"/>
          <w:lang w:val="en-GB"/>
        </w:rPr>
        <w:t xml:space="preserve">external </w:t>
      </w:r>
      <w:r w:rsidRPr="006F3822" w:rsidDel="003F0E72">
        <w:rPr>
          <w:rFonts w:cs="Arial"/>
          <w:lang w:val="en-GB"/>
        </w:rPr>
        <w:t>users may want financial reports that do not follow GAAP. For example, users may need financial statements using non-GAAP accounting policies required for legislative or regulatory purposes, or for contract compliance. A prospective lender may want to receive a balance sheet with assets reported at fair value rather than historical cost. Accountants have the skills and abilities to provide financial information in a variety of formats or using a variety of accounting policies. When the financial statements use non-GAAP accounting policies, the accounting policies must be disclosed in the notes to the financial statements. The accountant’s report would make reference to these accounting policies.</w:t>
      </w:r>
    </w:p>
    <w:p w14:paraId="5E441B3F" w14:textId="77777777" w:rsidR="00AF5FFD" w:rsidRPr="006F3822" w:rsidRDefault="00AF5FFD" w:rsidP="006F3822">
      <w:pPr>
        <w:pStyle w:val="ListParagraph"/>
        <w:numPr>
          <w:ilvl w:val="0"/>
          <w:numId w:val="49"/>
        </w:numPr>
        <w:spacing w:line="360" w:lineRule="auto"/>
        <w:jc w:val="both"/>
        <w:rPr>
          <w:rFonts w:cs="Arial"/>
          <w:lang w:val="en-GB"/>
        </w:rPr>
      </w:pPr>
      <w:r w:rsidRPr="006F3822">
        <w:rPr>
          <w:rFonts w:cs="Arial"/>
          <w:lang w:val="en-GB"/>
        </w:rPr>
        <w:t>The three main areas where judgment needs to be applied are as follows:</w:t>
      </w:r>
    </w:p>
    <w:p w14:paraId="5E441B40" w14:textId="77777777" w:rsidR="00AF5FFD" w:rsidRPr="006F3822" w:rsidRDefault="00AF5FFD" w:rsidP="006F3822">
      <w:pPr>
        <w:pStyle w:val="ListParagraph"/>
        <w:numPr>
          <w:ilvl w:val="1"/>
          <w:numId w:val="49"/>
        </w:numPr>
        <w:spacing w:line="360" w:lineRule="auto"/>
        <w:jc w:val="both"/>
        <w:rPr>
          <w:rFonts w:cs="Arial"/>
          <w:lang w:val="en-GB"/>
        </w:rPr>
      </w:pPr>
      <w:r w:rsidRPr="006F3822">
        <w:rPr>
          <w:rFonts w:cs="Arial"/>
          <w:lang w:val="en-GB"/>
        </w:rPr>
        <w:t>Choosing accounting policies that are appropriate for the company’s situation</w:t>
      </w:r>
    </w:p>
    <w:p w14:paraId="5E441B41" w14:textId="77777777" w:rsidR="00AF5FFD" w:rsidRPr="006F3822" w:rsidRDefault="00AF5FFD" w:rsidP="006F3822">
      <w:pPr>
        <w:pStyle w:val="ListParagraph"/>
        <w:numPr>
          <w:ilvl w:val="1"/>
          <w:numId w:val="49"/>
        </w:numPr>
        <w:spacing w:line="360" w:lineRule="auto"/>
        <w:jc w:val="both"/>
        <w:rPr>
          <w:rFonts w:cs="Arial"/>
          <w:lang w:val="en-GB"/>
        </w:rPr>
      </w:pPr>
      <w:r w:rsidRPr="006F3822">
        <w:rPr>
          <w:rFonts w:cs="Arial"/>
          <w:lang w:val="en-GB"/>
        </w:rPr>
        <w:t>Making estimates to accurately reflect the company’s financial position and results of operations</w:t>
      </w:r>
    </w:p>
    <w:p w14:paraId="5E441B42" w14:textId="77777777" w:rsidR="00AF5FFD" w:rsidRPr="006F3822" w:rsidRDefault="00AF5FFD" w:rsidP="006F3822">
      <w:pPr>
        <w:pStyle w:val="ListParagraph"/>
        <w:numPr>
          <w:ilvl w:val="1"/>
          <w:numId w:val="49"/>
        </w:numPr>
        <w:spacing w:line="360" w:lineRule="auto"/>
        <w:jc w:val="both"/>
        <w:rPr>
          <w:rFonts w:cs="Arial"/>
          <w:lang w:val="en-GB"/>
        </w:rPr>
      </w:pPr>
      <w:r w:rsidRPr="006F3822">
        <w:rPr>
          <w:rFonts w:cs="Arial"/>
          <w:lang w:val="en-GB"/>
        </w:rPr>
        <w:t>Deciding what to disclose and how to disclose it in the notes to the financial statements.</w:t>
      </w:r>
    </w:p>
    <w:p w14:paraId="5E441B43" w14:textId="77777777" w:rsidR="00B60D3C" w:rsidRPr="006F3822" w:rsidRDefault="00BE3762" w:rsidP="006F3822">
      <w:pPr>
        <w:pStyle w:val="ListParagraph"/>
        <w:numPr>
          <w:ilvl w:val="0"/>
          <w:numId w:val="49"/>
        </w:numPr>
        <w:spacing w:line="360" w:lineRule="auto"/>
        <w:jc w:val="both"/>
        <w:rPr>
          <w:rFonts w:cs="Arial"/>
          <w:lang w:val="en-GB"/>
        </w:rPr>
      </w:pPr>
      <w:r>
        <w:rPr>
          <w:rFonts w:cs="Arial"/>
          <w:lang w:val="en-GB"/>
        </w:rPr>
        <w:t>The GAAP-based f</w:t>
      </w:r>
      <w:r w:rsidR="00B60D3C" w:rsidRPr="006F3822">
        <w:rPr>
          <w:rFonts w:cs="Arial"/>
          <w:lang w:val="en-GB"/>
        </w:rPr>
        <w:t xml:space="preserve">inancial statements are prepared primarily for the benefit of external users. The financial statements provide a summary of the financial position and results of operations for the company. Management has access to the detailed information available within the company. Therefore, the formal financial statements should give priority to the needs of the external users. </w:t>
      </w:r>
    </w:p>
    <w:p w14:paraId="5E441B44" w14:textId="77777777" w:rsidR="00931CCC" w:rsidRPr="006F3822" w:rsidRDefault="003F0E72" w:rsidP="006F3822">
      <w:pPr>
        <w:pStyle w:val="ListParagraph"/>
        <w:numPr>
          <w:ilvl w:val="0"/>
          <w:numId w:val="49"/>
        </w:numPr>
        <w:spacing w:line="360" w:lineRule="auto"/>
        <w:jc w:val="both"/>
        <w:rPr>
          <w:rFonts w:cs="Arial"/>
          <w:lang w:val="en-GB"/>
        </w:rPr>
      </w:pPr>
      <w:r>
        <w:rPr>
          <w:rFonts w:cs="Arial"/>
          <w:lang w:val="en-GB"/>
        </w:rPr>
        <w:t>T</w:t>
      </w:r>
      <w:r w:rsidRPr="005B2FB8">
        <w:rPr>
          <w:rFonts w:cs="Arial"/>
          <w:lang w:val="en-GB"/>
        </w:rPr>
        <w:t xml:space="preserve">he main reason the Accounting Standards Board decided to create a separate section of the </w:t>
      </w:r>
      <w:r w:rsidRPr="001E35EA">
        <w:rPr>
          <w:rFonts w:cs="Arial"/>
          <w:lang w:val="en-GB"/>
        </w:rPr>
        <w:t>CPA Canada</w:t>
      </w:r>
      <w:r w:rsidRPr="00855A37">
        <w:rPr>
          <w:rFonts w:cs="Arial"/>
          <w:lang w:val="en-GB"/>
        </w:rPr>
        <w:t xml:space="preserve"> Handbook</w:t>
      </w:r>
      <w:r w:rsidRPr="005B2FB8">
        <w:rPr>
          <w:rFonts w:cs="Arial"/>
          <w:lang w:val="en-GB"/>
        </w:rPr>
        <w:t xml:space="preserve"> for private enterprises was to address the cost/benefit discrepancy with respect to smaller private companies’ ability to comply with GAAP.  GAAP has become increasingly complex and for smaller private enterprises this often means that the cost of complying with such requirements outweighs the benefit received from compliance.  In 2002, the </w:t>
      </w:r>
      <w:proofErr w:type="spellStart"/>
      <w:r w:rsidRPr="005B2FB8">
        <w:rPr>
          <w:rFonts w:cs="Arial"/>
          <w:lang w:val="en-GB"/>
        </w:rPr>
        <w:t>AcSB</w:t>
      </w:r>
      <w:proofErr w:type="spellEnd"/>
      <w:r w:rsidRPr="005B2FB8">
        <w:rPr>
          <w:rFonts w:cs="Arial"/>
          <w:lang w:val="en-GB"/>
        </w:rPr>
        <w:t xml:space="preserve"> adopted differential reporting, which allowed private enterprises choices with the respect to certain complex accounting standards (e.g. the option to use the cost method for investments that would otherwise require the equity method). In 2009, the </w:t>
      </w:r>
      <w:proofErr w:type="spellStart"/>
      <w:r w:rsidRPr="005B2FB8">
        <w:rPr>
          <w:rFonts w:cs="Arial"/>
          <w:lang w:val="en-GB"/>
        </w:rPr>
        <w:t>AcSB</w:t>
      </w:r>
      <w:proofErr w:type="spellEnd"/>
      <w:r w:rsidRPr="005B2FB8">
        <w:rPr>
          <w:rFonts w:cs="Arial"/>
          <w:lang w:val="en-GB"/>
        </w:rPr>
        <w:t xml:space="preserve"> decided to create a self-contained set of standards for private enterprises. These standards were effective for fiscal periods beginning on or after January 1, 2011.</w:t>
      </w:r>
    </w:p>
    <w:p w14:paraId="5E441B45" w14:textId="77777777" w:rsidR="00931CCC" w:rsidRPr="006F3822" w:rsidRDefault="00931CCC" w:rsidP="006F3822">
      <w:pPr>
        <w:pStyle w:val="ListParagraph"/>
        <w:numPr>
          <w:ilvl w:val="0"/>
          <w:numId w:val="49"/>
        </w:numPr>
        <w:spacing w:line="360" w:lineRule="auto"/>
        <w:jc w:val="both"/>
        <w:rPr>
          <w:rFonts w:cs="Arial"/>
          <w:lang w:val="en-GB"/>
        </w:rPr>
      </w:pPr>
      <w:r w:rsidRPr="006F3822">
        <w:rPr>
          <w:rFonts w:cs="Arial"/>
          <w:lang w:val="en-GB"/>
        </w:rPr>
        <w:t xml:space="preserve">There are a few reasons why a private company would want to comply with </w:t>
      </w:r>
      <w:r w:rsidR="007F2533">
        <w:rPr>
          <w:rFonts w:cs="Arial"/>
          <w:lang w:val="en-GB"/>
        </w:rPr>
        <w:t>IFRS</w:t>
      </w:r>
      <w:r w:rsidRPr="006F3822">
        <w:rPr>
          <w:rFonts w:cs="Arial"/>
          <w:lang w:val="en-GB"/>
        </w:rPr>
        <w:t xml:space="preserve"> even though it is not required to do so.  It may have plans to become publicly listed at some point in the future and will then be required to comply with </w:t>
      </w:r>
      <w:r w:rsidR="007F2533">
        <w:rPr>
          <w:rFonts w:cs="Arial"/>
          <w:lang w:val="en-GB"/>
        </w:rPr>
        <w:t>IFRS</w:t>
      </w:r>
      <w:r w:rsidRPr="006F3822">
        <w:rPr>
          <w:rFonts w:cs="Arial"/>
          <w:lang w:val="en-GB"/>
        </w:rPr>
        <w:t xml:space="preserve">.  In this case it would make sense to prepare IFRS compliant statements in anticipation of the public transaction since the company </w:t>
      </w:r>
      <w:r w:rsidRPr="006F3822">
        <w:rPr>
          <w:rFonts w:cs="Arial"/>
          <w:lang w:val="en-GB"/>
        </w:rPr>
        <w:lastRenderedPageBreak/>
        <w:t>would have to provide multiple years of comparative financial statements that comply with IFRS.  A private company may have users of their financial statements that find IFRS statements more useful for their purposes (e.g. creditors, customers, partners, and other stakeholders that may receive the company’s financial statements).  Given the global economy and the increased number of countries that have converted to IFRS, this is more likely than it once might have been.</w:t>
      </w:r>
    </w:p>
    <w:p w14:paraId="5E441B46" w14:textId="77777777" w:rsidR="00DB129A" w:rsidRPr="006F3822" w:rsidRDefault="00DB129A" w:rsidP="006F3822">
      <w:pPr>
        <w:pStyle w:val="bchfgtx"/>
        <w:widowControl/>
        <w:numPr>
          <w:ilvl w:val="0"/>
          <w:numId w:val="49"/>
        </w:numPr>
        <w:spacing w:after="120" w:line="360" w:lineRule="auto"/>
        <w:jc w:val="both"/>
        <w:rPr>
          <w:rFonts w:ascii="Arial" w:hAnsi="Arial" w:cs="Arial"/>
          <w:color w:val="auto"/>
          <w:sz w:val="22"/>
          <w:szCs w:val="20"/>
          <w:lang w:val="en-GB" w:eastAsia="en-US" w:bidi="ar-SA"/>
        </w:rPr>
      </w:pPr>
      <w:r w:rsidRPr="006F3822">
        <w:rPr>
          <w:rFonts w:ascii="Arial" w:hAnsi="Arial" w:cs="Arial"/>
          <w:sz w:val="22"/>
          <w:szCs w:val="20"/>
          <w:lang w:val="en-GB" w:eastAsia="en-US" w:bidi="ar-SA"/>
        </w:rPr>
        <w:t xml:space="preserve">The following </w:t>
      </w:r>
      <w:r w:rsidRPr="006F3822">
        <w:rPr>
          <w:rFonts w:ascii="Arial" w:hAnsi="Arial" w:cs="Arial"/>
          <w:color w:val="auto"/>
          <w:sz w:val="22"/>
          <w:szCs w:val="20"/>
          <w:lang w:val="en-GB" w:eastAsia="en-US" w:bidi="ar-SA"/>
        </w:rPr>
        <w:t>financial statement items could have different account balance</w:t>
      </w:r>
      <w:r w:rsidR="00BE3762">
        <w:rPr>
          <w:rFonts w:ascii="Arial" w:hAnsi="Arial" w:cs="Arial"/>
          <w:color w:val="auto"/>
          <w:sz w:val="22"/>
          <w:szCs w:val="20"/>
          <w:lang w:val="en-GB" w:eastAsia="en-US" w:bidi="ar-SA"/>
        </w:rPr>
        <w:t>s</w:t>
      </w:r>
      <w:r w:rsidRPr="006F3822">
        <w:rPr>
          <w:rFonts w:ascii="Arial" w:hAnsi="Arial" w:cs="Arial"/>
          <w:color w:val="auto"/>
          <w:sz w:val="22"/>
          <w:szCs w:val="20"/>
          <w:lang w:val="en-GB" w:eastAsia="en-US" w:bidi="ar-SA"/>
        </w:rPr>
        <w:t xml:space="preserve"> under ASPE as compared to </w:t>
      </w:r>
      <w:r w:rsidR="007F2533">
        <w:rPr>
          <w:rFonts w:ascii="Arial" w:hAnsi="Arial" w:cs="Arial"/>
          <w:color w:val="auto"/>
          <w:sz w:val="22"/>
          <w:szCs w:val="20"/>
          <w:lang w:val="en-GB" w:eastAsia="en-US" w:bidi="ar-SA"/>
        </w:rPr>
        <w:t>IFRS</w:t>
      </w:r>
      <w:r w:rsidRPr="006F3822">
        <w:rPr>
          <w:rFonts w:ascii="Arial" w:hAnsi="Arial" w:cs="Arial"/>
          <w:color w:val="auto"/>
          <w:sz w:val="22"/>
          <w:szCs w:val="20"/>
          <w:lang w:val="en-GB" w:eastAsia="en-US" w:bidi="ar-SA"/>
        </w:rPr>
        <w:t>: i</w:t>
      </w:r>
      <w:r w:rsidRPr="006F3822">
        <w:rPr>
          <w:rFonts w:ascii="Arial" w:hAnsi="Arial" w:cs="Arial"/>
          <w:sz w:val="22"/>
          <w:szCs w:val="20"/>
          <w:lang w:val="en-GB" w:eastAsia="en-US" w:bidi="ar-SA"/>
        </w:rPr>
        <w:t>mpaired loans, property, plant, &amp; equipment, development costs, post-employment benefits, income taxes, compound financial instrument</w:t>
      </w:r>
      <w:r w:rsidR="00BE3762">
        <w:rPr>
          <w:rFonts w:ascii="Arial" w:hAnsi="Arial" w:cs="Arial"/>
          <w:sz w:val="22"/>
          <w:szCs w:val="20"/>
          <w:lang w:val="en-GB" w:eastAsia="en-US" w:bidi="ar-SA"/>
        </w:rPr>
        <w:t>s</w:t>
      </w:r>
      <w:r w:rsidRPr="006F3822">
        <w:rPr>
          <w:rFonts w:ascii="Arial" w:hAnsi="Arial" w:cs="Arial"/>
          <w:sz w:val="22"/>
          <w:szCs w:val="20"/>
          <w:lang w:val="en-GB" w:eastAsia="en-US" w:bidi="ar-SA"/>
        </w:rPr>
        <w:t>, preferred shares and convertible bonds</w:t>
      </w:r>
    </w:p>
    <w:p w14:paraId="5E441B47" w14:textId="77777777" w:rsidR="00DB129A" w:rsidRDefault="00DB129A" w:rsidP="006F3822">
      <w:pPr>
        <w:pStyle w:val="ListParagraph"/>
        <w:numPr>
          <w:ilvl w:val="0"/>
          <w:numId w:val="49"/>
        </w:numPr>
        <w:spacing w:line="360" w:lineRule="auto"/>
        <w:jc w:val="both"/>
        <w:rPr>
          <w:rFonts w:cs="Arial"/>
          <w:lang w:val="en-GB"/>
        </w:rPr>
      </w:pPr>
      <w:r>
        <w:rPr>
          <w:rFonts w:cs="Arial"/>
          <w:lang w:val="en-GB"/>
        </w:rPr>
        <w:t>For the item listed in Exhibit 1.</w:t>
      </w:r>
      <w:r w:rsidR="00BE3762">
        <w:rPr>
          <w:rFonts w:cs="Arial"/>
          <w:lang w:val="en-GB"/>
        </w:rPr>
        <w:t>1</w:t>
      </w:r>
      <w:r>
        <w:rPr>
          <w:rFonts w:cs="Arial"/>
          <w:lang w:val="en-GB"/>
        </w:rPr>
        <w:t xml:space="preserve">, all items except for disclosure would likely change when a company switched from ASPE to </w:t>
      </w:r>
      <w:r w:rsidR="007F2533">
        <w:rPr>
          <w:rFonts w:cs="Arial"/>
          <w:lang w:val="en-GB"/>
        </w:rPr>
        <w:t>IFRS</w:t>
      </w:r>
      <w:r>
        <w:rPr>
          <w:rFonts w:cs="Arial"/>
          <w:lang w:val="en-GB"/>
        </w:rPr>
        <w:t xml:space="preserve">. </w:t>
      </w:r>
    </w:p>
    <w:p w14:paraId="5E441B48" w14:textId="77777777" w:rsidR="004F08F6" w:rsidRPr="006F3822" w:rsidRDefault="004F08F6" w:rsidP="006F3822">
      <w:pPr>
        <w:pStyle w:val="ListParagraph"/>
        <w:numPr>
          <w:ilvl w:val="0"/>
          <w:numId w:val="49"/>
        </w:numPr>
        <w:spacing w:line="360" w:lineRule="auto"/>
        <w:jc w:val="both"/>
        <w:rPr>
          <w:rFonts w:cs="Arial"/>
          <w:lang w:val="en-GB"/>
        </w:rPr>
      </w:pPr>
      <w:r w:rsidRPr="006F3822">
        <w:rPr>
          <w:rFonts w:cs="Arial"/>
          <w:lang w:val="en-GB"/>
        </w:rPr>
        <w:t>The return on assets or return on equity is typically used to assess profitability. The current ratio is typically used to assess liquidity. The debt-to-equity ratio is typically used to assess solvency.</w:t>
      </w:r>
    </w:p>
    <w:p w14:paraId="5E441B49" w14:textId="77777777" w:rsidR="004F08F6" w:rsidRPr="006F3822" w:rsidRDefault="004F08F6" w:rsidP="006F3822">
      <w:pPr>
        <w:pStyle w:val="ListParagraph"/>
        <w:numPr>
          <w:ilvl w:val="0"/>
          <w:numId w:val="49"/>
        </w:numPr>
        <w:spacing w:line="360" w:lineRule="auto"/>
        <w:jc w:val="both"/>
        <w:rPr>
          <w:rFonts w:cs="Arial"/>
          <w:lang w:val="en-GB"/>
        </w:rPr>
      </w:pPr>
      <w:r w:rsidRPr="006F3822">
        <w:rPr>
          <w:rFonts w:cs="Arial"/>
          <w:lang w:val="en-GB"/>
        </w:rPr>
        <w:t>If XZY Co. had capitalized rather than expenses the development costs in Year 1, the company’s key ratios would change as follows:</w:t>
      </w:r>
    </w:p>
    <w:p w14:paraId="5E441B4A" w14:textId="77777777" w:rsidR="004F08F6" w:rsidRPr="006F3822" w:rsidRDefault="004F08F6" w:rsidP="006F3822">
      <w:pPr>
        <w:pStyle w:val="ListParagraph"/>
        <w:numPr>
          <w:ilvl w:val="1"/>
          <w:numId w:val="49"/>
        </w:numPr>
        <w:spacing w:line="360" w:lineRule="auto"/>
        <w:jc w:val="both"/>
        <w:rPr>
          <w:rFonts w:cs="Arial"/>
          <w:lang w:val="en-GB"/>
        </w:rPr>
      </w:pPr>
      <w:r w:rsidRPr="006F3822">
        <w:rPr>
          <w:rFonts w:cs="Arial"/>
          <w:lang w:val="en-GB"/>
        </w:rPr>
        <w:t>the current ratio would increase if the development costs were classified as a current asset because current assets would increase and current liabilities would remain the same; the current ratio would not change if the development costs were classified as a non-current asset because both current assets and current liabilities would remain the same;</w:t>
      </w:r>
    </w:p>
    <w:p w14:paraId="5E441B4B" w14:textId="77777777" w:rsidR="004F08F6" w:rsidRPr="006F3822" w:rsidRDefault="004F08F6" w:rsidP="006F3822">
      <w:pPr>
        <w:pStyle w:val="ListParagraph"/>
        <w:numPr>
          <w:ilvl w:val="1"/>
          <w:numId w:val="49"/>
        </w:numPr>
        <w:spacing w:line="360" w:lineRule="auto"/>
        <w:jc w:val="both"/>
        <w:rPr>
          <w:rFonts w:cs="Arial"/>
          <w:lang w:val="en-GB"/>
        </w:rPr>
      </w:pPr>
      <w:r w:rsidRPr="006F3822">
        <w:rPr>
          <w:rFonts w:cs="Arial"/>
          <w:lang w:val="en-GB"/>
        </w:rPr>
        <w:t>the debt-to-equity ratio would decrease because debt would remain the same and equity would increase</w:t>
      </w:r>
    </w:p>
    <w:p w14:paraId="5E441B4C" w14:textId="77777777" w:rsidR="004F08F6" w:rsidRPr="006F3822" w:rsidRDefault="004F08F6" w:rsidP="006F3822">
      <w:pPr>
        <w:pStyle w:val="ListParagraph"/>
        <w:numPr>
          <w:ilvl w:val="1"/>
          <w:numId w:val="49"/>
        </w:numPr>
        <w:spacing w:line="360" w:lineRule="auto"/>
        <w:jc w:val="both"/>
        <w:rPr>
          <w:rFonts w:cs="Arial"/>
          <w:lang w:val="en-GB"/>
        </w:rPr>
      </w:pPr>
      <w:r w:rsidRPr="006F3822">
        <w:rPr>
          <w:rFonts w:cs="Arial"/>
          <w:lang w:val="en-GB"/>
        </w:rPr>
        <w:t>the return on equity change would increase because net income and equity would increase by the same dollar amount but net income would be a higher percentage of equity after the change</w:t>
      </w:r>
    </w:p>
    <w:p w14:paraId="5E441B4D" w14:textId="77777777" w:rsidR="00ED41A8" w:rsidRPr="002D097B" w:rsidRDefault="00ED41A8" w:rsidP="00ED41A8">
      <w:pPr>
        <w:pStyle w:val="ListParagraph"/>
        <w:numPr>
          <w:ilvl w:val="0"/>
          <w:numId w:val="49"/>
        </w:numPr>
        <w:spacing w:line="360" w:lineRule="auto"/>
        <w:jc w:val="both"/>
        <w:rPr>
          <w:rFonts w:cs="Arial"/>
          <w:lang w:val="en-GB"/>
        </w:rPr>
      </w:pPr>
      <w:r w:rsidRPr="002D097B">
        <w:rPr>
          <w:rFonts w:cs="Arial"/>
          <w:lang w:val="en-GB"/>
        </w:rPr>
        <w:t>The six steps of the case framework are as follows:</w:t>
      </w:r>
    </w:p>
    <w:p w14:paraId="5E441B4E"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Determine Your Role and Requirements </w:t>
      </w:r>
    </w:p>
    <w:p w14:paraId="5E441B4F"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Identify Users &amp; Their Needs </w:t>
      </w:r>
    </w:p>
    <w:p w14:paraId="5E441B50"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Identify &amp; Rank Issues </w:t>
      </w:r>
    </w:p>
    <w:p w14:paraId="5E441B51"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 xml:space="preserve">Identify Viable Alternatives for Each Major Issue </w:t>
      </w:r>
    </w:p>
    <w:p w14:paraId="5E441B52" w14:textId="77777777" w:rsidR="00ED41A8" w:rsidRPr="002D097B" w:rsidRDefault="00ED41A8" w:rsidP="00ED41A8">
      <w:pPr>
        <w:pStyle w:val="ListParagraph"/>
        <w:numPr>
          <w:ilvl w:val="1"/>
          <w:numId w:val="49"/>
        </w:numPr>
        <w:spacing w:line="360" w:lineRule="auto"/>
        <w:jc w:val="both"/>
        <w:rPr>
          <w:rFonts w:cs="Arial"/>
          <w:lang w:val="en-GB"/>
        </w:rPr>
      </w:pPr>
      <w:proofErr w:type="spellStart"/>
      <w:r w:rsidRPr="002D097B">
        <w:rPr>
          <w:rFonts w:cs="Arial"/>
          <w:lang w:val="en-GB"/>
        </w:rPr>
        <w:t>Analyze</w:t>
      </w:r>
      <w:proofErr w:type="spellEnd"/>
      <w:r w:rsidRPr="002D097B">
        <w:rPr>
          <w:rFonts w:cs="Arial"/>
          <w:lang w:val="en-GB"/>
        </w:rPr>
        <w:t xml:space="preserve"> Alternatives Using Criteria for Resolving </w:t>
      </w:r>
    </w:p>
    <w:p w14:paraId="5E441B53"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Communicate Practical Recommendations/Conclusions</w:t>
      </w:r>
    </w:p>
    <w:p w14:paraId="5E441B54" w14:textId="77777777" w:rsidR="00ED41A8" w:rsidRPr="002D097B" w:rsidRDefault="00ED41A8" w:rsidP="00ED41A8">
      <w:pPr>
        <w:pStyle w:val="ListParagraph"/>
        <w:numPr>
          <w:ilvl w:val="0"/>
          <w:numId w:val="49"/>
        </w:numPr>
        <w:spacing w:line="360" w:lineRule="auto"/>
        <w:jc w:val="both"/>
        <w:rPr>
          <w:rFonts w:cs="Arial"/>
          <w:lang w:val="en-GB"/>
        </w:rPr>
      </w:pPr>
      <w:r w:rsidRPr="002D097B">
        <w:rPr>
          <w:rFonts w:cs="Arial"/>
          <w:lang w:val="en-GB"/>
        </w:rPr>
        <w:lastRenderedPageBreak/>
        <w:t xml:space="preserve">The </w:t>
      </w:r>
      <w:r>
        <w:rPr>
          <w:rFonts w:cs="Arial"/>
          <w:lang w:val="en-GB"/>
        </w:rPr>
        <w:t xml:space="preserve">report recipient </w:t>
      </w:r>
      <w:r w:rsidRPr="002D097B">
        <w:rPr>
          <w:rFonts w:cs="Arial"/>
          <w:lang w:val="en-GB"/>
        </w:rPr>
        <w:t xml:space="preserve">is the direct recipient of your report or memo e.g. the partner who asked you to prepare the memo. The </w:t>
      </w:r>
      <w:r>
        <w:rPr>
          <w:rFonts w:cs="Arial"/>
          <w:lang w:val="en-GB"/>
        </w:rPr>
        <w:t xml:space="preserve">primary </w:t>
      </w:r>
      <w:r w:rsidRPr="002D097B">
        <w:rPr>
          <w:rFonts w:cs="Arial"/>
          <w:lang w:val="en-GB"/>
        </w:rPr>
        <w:t xml:space="preserve">users are the users who will be affected by the actions taken as a result of your recommendations e.g. bankers and shareholders who will receive the financial statements. The </w:t>
      </w:r>
      <w:r>
        <w:rPr>
          <w:rFonts w:cs="Arial"/>
          <w:lang w:val="en-GB"/>
        </w:rPr>
        <w:t xml:space="preserve">primary </w:t>
      </w:r>
      <w:r w:rsidRPr="002D097B">
        <w:rPr>
          <w:rFonts w:cs="Arial"/>
          <w:lang w:val="en-GB"/>
        </w:rPr>
        <w:t>users should be given priority in financial reporting because they are primary recipients of the financial statements; they are directly affected by the financial statements. If they did not want to receive the financial statements, we would not be preparing them and would not have to write a memo to the partner with respect to the financial statements.</w:t>
      </w:r>
    </w:p>
    <w:p w14:paraId="5E441B55" w14:textId="77777777" w:rsidR="00ED41A8" w:rsidRPr="002D097B" w:rsidRDefault="00ED41A8" w:rsidP="00ED41A8">
      <w:pPr>
        <w:pStyle w:val="ListParagraph"/>
        <w:numPr>
          <w:ilvl w:val="0"/>
          <w:numId w:val="49"/>
        </w:numPr>
        <w:spacing w:line="360" w:lineRule="auto"/>
        <w:jc w:val="both"/>
        <w:rPr>
          <w:rFonts w:cs="Arial"/>
          <w:lang w:val="en-GB"/>
        </w:rPr>
      </w:pPr>
      <w:r>
        <w:rPr>
          <w:rFonts w:cs="Arial"/>
          <w:lang w:val="en-GB"/>
        </w:rPr>
        <w:t>T</w:t>
      </w:r>
      <w:r w:rsidRPr="002D097B">
        <w:rPr>
          <w:rFonts w:cs="Arial"/>
          <w:lang w:val="en-GB"/>
        </w:rPr>
        <w:t>he biggest factor to be used when ranking the importance of issues to be resolved is the materiality of the item. If one problem involves a $10,000 item and another problem involves a $10 million item, then the $10 million item likely is the most important item. After that, issues are typically ranked in the following order of priority:</w:t>
      </w:r>
    </w:p>
    <w:p w14:paraId="5E441B56"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controversial or highly contentious items</w:t>
      </w:r>
    </w:p>
    <w:p w14:paraId="5E441B57"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items with errors</w:t>
      </w:r>
    </w:p>
    <w:p w14:paraId="5E441B58" w14:textId="77777777" w:rsidR="00ED41A8" w:rsidRPr="002D097B" w:rsidRDefault="00ED41A8" w:rsidP="00ED41A8">
      <w:pPr>
        <w:pStyle w:val="ListParagraph"/>
        <w:numPr>
          <w:ilvl w:val="1"/>
          <w:numId w:val="49"/>
        </w:numPr>
        <w:spacing w:line="360" w:lineRule="auto"/>
        <w:jc w:val="both"/>
        <w:rPr>
          <w:rFonts w:cs="Arial"/>
          <w:lang w:val="en-GB"/>
        </w:rPr>
      </w:pPr>
      <w:r w:rsidRPr="002D097B">
        <w:rPr>
          <w:rFonts w:cs="Arial"/>
          <w:lang w:val="en-GB"/>
        </w:rPr>
        <w:t>complex items</w:t>
      </w:r>
    </w:p>
    <w:p w14:paraId="5E441B59" w14:textId="77777777" w:rsidR="00ED41A8" w:rsidRPr="002D097B" w:rsidRDefault="00ED41A8" w:rsidP="00ED41A8">
      <w:pPr>
        <w:pStyle w:val="ListParagraph"/>
        <w:numPr>
          <w:ilvl w:val="0"/>
          <w:numId w:val="49"/>
        </w:numPr>
        <w:spacing w:line="360" w:lineRule="auto"/>
        <w:jc w:val="both"/>
        <w:rPr>
          <w:rFonts w:cs="Arial"/>
          <w:lang w:val="en-GB"/>
        </w:rPr>
      </w:pPr>
      <w:r w:rsidRPr="002D097B">
        <w:rPr>
          <w:rFonts w:cs="Arial"/>
          <w:lang w:val="en-GB"/>
        </w:rPr>
        <w:t xml:space="preserve">The final case report should contain your recommendations along with the analysis and arguments supporting your recommendations. It does not need to discuss the alternatives for each issue unless the issue was very contentious. If in the analysis stage, you determined that there was clearly a right answer for a problem, then your report would provide only the recommendation with the supporting arguments. If two or more alternatives were nearly equal in benefits, then your final report could present the arguments for both alternatives along with your recommendation as to the best option in this contentious situation. </w:t>
      </w:r>
    </w:p>
    <w:p w14:paraId="5E441B5A" w14:textId="77777777" w:rsidR="00931CCC" w:rsidRDefault="00931CCC">
      <w:pPr>
        <w:autoSpaceDE w:val="0"/>
        <w:autoSpaceDN w:val="0"/>
        <w:adjustRightInd w:val="0"/>
        <w:spacing w:line="360" w:lineRule="auto"/>
        <w:rPr>
          <w:rFonts w:cs="Arial"/>
        </w:rPr>
      </w:pPr>
    </w:p>
    <w:p w14:paraId="5E441B5B" w14:textId="77777777" w:rsidR="00931CCC" w:rsidRDefault="00931CCC">
      <w:pPr>
        <w:autoSpaceDE w:val="0"/>
        <w:autoSpaceDN w:val="0"/>
        <w:adjustRightInd w:val="0"/>
        <w:spacing w:line="360" w:lineRule="auto"/>
        <w:rPr>
          <w:rFonts w:cs="Arial"/>
        </w:rPr>
      </w:pPr>
    </w:p>
    <w:p w14:paraId="5E441B5C" w14:textId="77777777" w:rsidR="00931CCC" w:rsidRDefault="00931CCC">
      <w:pPr>
        <w:pStyle w:val="Heading5"/>
        <w:rPr>
          <w:rFonts w:cs="Arial"/>
          <w:sz w:val="32"/>
        </w:rPr>
      </w:pPr>
      <w:r>
        <w:rPr>
          <w:rFonts w:cs="Arial"/>
          <w:sz w:val="32"/>
        </w:rPr>
        <w:t>SOLUTIONS TO CASES</w:t>
      </w:r>
    </w:p>
    <w:p w14:paraId="5E441B5D" w14:textId="56AB5D38" w:rsidR="00931CCC" w:rsidRPr="00400362" w:rsidRDefault="00931CCC">
      <w:pPr>
        <w:tabs>
          <w:tab w:val="left" w:pos="-1080"/>
          <w:tab w:val="left" w:pos="-720"/>
          <w:tab w:val="left" w:pos="0"/>
          <w:tab w:val="left" w:pos="450"/>
          <w:tab w:val="left" w:pos="900"/>
          <w:tab w:val="left" w:pos="1260"/>
          <w:tab w:val="left" w:pos="1620"/>
        </w:tabs>
        <w:spacing w:line="211" w:lineRule="auto"/>
        <w:jc w:val="both"/>
        <w:rPr>
          <w:rFonts w:cs="Arial"/>
        </w:rPr>
      </w:pPr>
      <w:r w:rsidRPr="00625939">
        <w:rPr>
          <w:rFonts w:cs="Arial"/>
          <w:b/>
          <w:bCs/>
          <w:sz w:val="28"/>
        </w:rPr>
        <w:t>Case 1-</w:t>
      </w:r>
      <w:r w:rsidRPr="008620BB">
        <w:rPr>
          <w:rFonts w:cs="Arial"/>
          <w:b/>
          <w:bCs/>
          <w:color w:val="000000" w:themeColor="text1"/>
          <w:sz w:val="28"/>
        </w:rPr>
        <w:t>1</w:t>
      </w:r>
      <w:r w:rsidR="003D2EEB" w:rsidRPr="008620BB">
        <w:rPr>
          <w:rFonts w:cs="Arial"/>
          <w:bCs/>
          <w:color w:val="000000" w:themeColor="text1"/>
          <w:sz w:val="28"/>
        </w:rPr>
        <w:t xml:space="preserve"> </w:t>
      </w:r>
      <w:r w:rsidR="007D57E3" w:rsidRPr="008620BB">
        <w:rPr>
          <w:rFonts w:cs="Arial"/>
          <w:bCs/>
          <w:color w:val="000000" w:themeColor="text1"/>
          <w:szCs w:val="22"/>
        </w:rPr>
        <w:t xml:space="preserve">[IFRS: </w:t>
      </w:r>
      <w:hyperlink r:id="rId9" w:history="1">
        <w:r w:rsidR="003D2EEB" w:rsidRPr="008620BB">
          <w:rPr>
            <w:rStyle w:val="Hyperlink"/>
            <w:rFonts w:cs="Arial"/>
            <w:color w:val="000000" w:themeColor="text1"/>
            <w:szCs w:val="22"/>
            <w:u w:val="none"/>
            <w:shd w:val="clear" w:color="auto" w:fill="FFFFFF"/>
          </w:rPr>
          <w:t>The conceptual framework for financial reporting</w:t>
        </w:r>
      </w:hyperlink>
      <w:r w:rsidR="003D2EEB" w:rsidRPr="008620BB">
        <w:rPr>
          <w:color w:val="000000" w:themeColor="text1"/>
          <w:szCs w:val="22"/>
        </w:rPr>
        <w:t xml:space="preserve">: chapter </w:t>
      </w:r>
      <w:r w:rsidR="003D2EEB" w:rsidRPr="00400362">
        <w:rPr>
          <w:szCs w:val="22"/>
        </w:rPr>
        <w:t>3]</w:t>
      </w:r>
    </w:p>
    <w:p w14:paraId="5E441B5E" w14:textId="77777777" w:rsidR="00931CCC" w:rsidRDefault="00931CCC">
      <w:pPr>
        <w:tabs>
          <w:tab w:val="left" w:pos="-1080"/>
          <w:tab w:val="left" w:pos="-720"/>
          <w:tab w:val="left" w:pos="0"/>
          <w:tab w:val="left" w:pos="450"/>
          <w:tab w:val="left" w:pos="900"/>
          <w:tab w:val="left" w:pos="1260"/>
          <w:tab w:val="left" w:pos="1620"/>
        </w:tabs>
        <w:spacing w:line="211" w:lineRule="auto"/>
        <w:jc w:val="both"/>
        <w:rPr>
          <w:rFonts w:cs="Arial"/>
        </w:rPr>
      </w:pPr>
    </w:p>
    <w:p w14:paraId="5E441B5F" w14:textId="77777777" w:rsidR="008A0BCD" w:rsidRDefault="00931CCC">
      <w:pPr>
        <w:pStyle w:val="BodyText"/>
        <w:tabs>
          <w:tab w:val="left" w:pos="-1080"/>
          <w:tab w:val="left" w:pos="-720"/>
          <w:tab w:val="left" w:pos="0"/>
          <w:tab w:val="left" w:pos="450"/>
          <w:tab w:val="left" w:pos="900"/>
          <w:tab w:val="left" w:pos="1260"/>
          <w:tab w:val="left" w:pos="1620"/>
        </w:tabs>
        <w:rPr>
          <w:rFonts w:cs="Arial"/>
        </w:rPr>
      </w:pPr>
      <w:r>
        <w:rPr>
          <w:rFonts w:cs="Arial"/>
        </w:rPr>
        <w:t>Students may assume that</w:t>
      </w:r>
      <w:r w:rsidR="008A0BCD">
        <w:rPr>
          <w:rFonts w:cs="Arial"/>
        </w:rPr>
        <w:t xml:space="preserve"> </w:t>
      </w:r>
      <w:r w:rsidR="007F2533">
        <w:rPr>
          <w:rFonts w:cs="Arial"/>
        </w:rPr>
        <w:t>IFRS</w:t>
      </w:r>
      <w:r>
        <w:rPr>
          <w:rFonts w:cs="Arial"/>
        </w:rPr>
        <w:t xml:space="preserve"> is superior and that all reporting issues can (or should) be resolved by following</w:t>
      </w:r>
      <w:r w:rsidR="008A0BCD">
        <w:rPr>
          <w:rFonts w:cs="Arial"/>
        </w:rPr>
        <w:t xml:space="preserve"> </w:t>
      </w:r>
      <w:r w:rsidR="007F2533">
        <w:rPr>
          <w:rFonts w:cs="Arial"/>
        </w:rPr>
        <w:t>IFRS</w:t>
      </w:r>
      <w:r>
        <w:rPr>
          <w:rFonts w:cs="Arial"/>
        </w:rPr>
        <w:t>.  However, the reporting of research and development costs is a good example of a requirement where many different approaches can be justified</w:t>
      </w:r>
      <w:r w:rsidR="008A0BCD">
        <w:rPr>
          <w:rFonts w:cs="Arial"/>
        </w:rPr>
        <w:t xml:space="preserve"> when one considers the cost and benefits involved. </w:t>
      </w:r>
    </w:p>
    <w:p w14:paraId="5E441B60" w14:textId="77777777" w:rsidR="00383F5D" w:rsidRDefault="00383F5D">
      <w:pPr>
        <w:pStyle w:val="BodyText"/>
        <w:tabs>
          <w:tab w:val="left" w:pos="-1080"/>
          <w:tab w:val="left" w:pos="-720"/>
          <w:tab w:val="left" w:pos="0"/>
          <w:tab w:val="left" w:pos="450"/>
          <w:tab w:val="left" w:pos="900"/>
          <w:tab w:val="left" w:pos="1260"/>
          <w:tab w:val="left" w:pos="1620"/>
        </w:tabs>
        <w:rPr>
          <w:rFonts w:cs="Arial"/>
        </w:rPr>
      </w:pPr>
    </w:p>
    <w:p w14:paraId="5E441B61" w14:textId="77777777" w:rsidR="00931CCC" w:rsidRDefault="007F2533">
      <w:pPr>
        <w:pStyle w:val="BodyText"/>
        <w:tabs>
          <w:tab w:val="left" w:pos="-1080"/>
          <w:tab w:val="left" w:pos="-720"/>
          <w:tab w:val="left" w:pos="0"/>
          <w:tab w:val="left" w:pos="450"/>
          <w:tab w:val="left" w:pos="900"/>
          <w:tab w:val="left" w:pos="1260"/>
          <w:tab w:val="left" w:pos="1620"/>
        </w:tabs>
        <w:rPr>
          <w:rFonts w:cs="Arial"/>
        </w:rPr>
      </w:pPr>
      <w:r>
        <w:rPr>
          <w:rFonts w:cs="Arial"/>
        </w:rPr>
        <w:t>IFRS</w:t>
      </w:r>
      <w:r w:rsidR="00931CCC">
        <w:rPr>
          <w:rFonts w:cs="Arial"/>
        </w:rPr>
        <w:t xml:space="preserve"> </w:t>
      </w:r>
      <w:r w:rsidR="00BE3762">
        <w:rPr>
          <w:rFonts w:cs="Arial"/>
        </w:rPr>
        <w:t xml:space="preserve">requires </w:t>
      </w:r>
      <w:r w:rsidR="00931CCC">
        <w:rPr>
          <w:rFonts w:cs="Arial"/>
        </w:rPr>
        <w:t>capitalization of development costs when certain criteria are met.</w:t>
      </w:r>
      <w:r w:rsidR="008A0BCD">
        <w:rPr>
          <w:rFonts w:cs="Arial"/>
        </w:rPr>
        <w:t xml:space="preserve"> ASPE allows a policy choice between expensing all development costs without assessing whether they will </w:t>
      </w:r>
      <w:r w:rsidR="008A0BCD">
        <w:rPr>
          <w:rFonts w:cs="Arial"/>
        </w:rPr>
        <w:lastRenderedPageBreak/>
        <w:t xml:space="preserve">provide future benefits or capitalizing those developments costs that are expected to provide future benefits. </w:t>
      </w:r>
    </w:p>
    <w:p w14:paraId="5E441B62" w14:textId="77777777" w:rsidR="00931CCC" w:rsidRDefault="00931CCC">
      <w:pPr>
        <w:tabs>
          <w:tab w:val="left" w:pos="-1080"/>
          <w:tab w:val="left" w:pos="-720"/>
          <w:tab w:val="left" w:pos="0"/>
          <w:tab w:val="left" w:pos="450"/>
          <w:tab w:val="left" w:pos="900"/>
          <w:tab w:val="left" w:pos="1260"/>
          <w:tab w:val="left" w:pos="1620"/>
        </w:tabs>
        <w:spacing w:line="360" w:lineRule="auto"/>
        <w:jc w:val="both"/>
        <w:rPr>
          <w:rFonts w:cs="Arial"/>
        </w:rPr>
      </w:pPr>
    </w:p>
    <w:p w14:paraId="5E441B63" w14:textId="77777777" w:rsidR="00931CCC" w:rsidRDefault="00931CCC">
      <w:pPr>
        <w:tabs>
          <w:tab w:val="left" w:pos="-1080"/>
          <w:tab w:val="left" w:pos="-720"/>
          <w:tab w:val="left" w:pos="0"/>
          <w:tab w:val="left" w:pos="450"/>
          <w:tab w:val="left" w:pos="900"/>
          <w:tab w:val="left" w:pos="1260"/>
          <w:tab w:val="left" w:pos="1620"/>
        </w:tabs>
        <w:spacing w:line="360" w:lineRule="auto"/>
        <w:jc w:val="both"/>
        <w:rPr>
          <w:rFonts w:cs="Arial"/>
          <w:szCs w:val="22"/>
        </w:rPr>
      </w:pPr>
      <w:r>
        <w:rPr>
          <w:rFonts w:cs="Arial"/>
        </w:rPr>
        <w:t xml:space="preserve">The issue is not whether costs that will have future benefits should be capitalized.  Most accountants around the world would recommend capitalizing a cost that leads to future revenues that are in excess of that cost.  The real issue is whether criteria can be developed for identifying projects that will lead to the recovery of those costs.  </w:t>
      </w:r>
      <w:r w:rsidR="008A0BCD">
        <w:rPr>
          <w:rFonts w:cs="Arial"/>
        </w:rPr>
        <w:t xml:space="preserve">One could argue that it is </w:t>
      </w:r>
      <w:r>
        <w:rPr>
          <w:rFonts w:cs="Arial"/>
        </w:rPr>
        <w:t xml:space="preserve">too subjective </w:t>
      </w:r>
      <w:r w:rsidR="008A0BCD">
        <w:rPr>
          <w:rFonts w:cs="Arial"/>
        </w:rPr>
        <w:t xml:space="preserve">to determine whether future benefits will be realized </w:t>
      </w:r>
      <w:r>
        <w:rPr>
          <w:rFonts w:cs="Arial"/>
        </w:rPr>
        <w:t xml:space="preserve">and </w:t>
      </w:r>
      <w:r w:rsidR="008A0BCD">
        <w:rPr>
          <w:rFonts w:cs="Arial"/>
        </w:rPr>
        <w:t xml:space="preserve">the assessment could be </w:t>
      </w:r>
      <w:r>
        <w:rPr>
          <w:rFonts w:cs="Arial"/>
        </w:rPr>
        <w:t xml:space="preserve">open to manipulation.  History has shown that the amount of research and development costs capitalized tended to vary as a company experienced good years and bad.  </w:t>
      </w:r>
      <w:r>
        <w:rPr>
          <w:rFonts w:cs="Arial"/>
          <w:szCs w:val="22"/>
        </w:rPr>
        <w:t xml:space="preserve">Conversely, under IFRS, development costs must be recognized as an intangible asset when an enterprise can show that the six criteria mentioned in the question can be met. </w:t>
      </w:r>
    </w:p>
    <w:p w14:paraId="5E441B64" w14:textId="77777777" w:rsidR="00931CCC" w:rsidRDefault="00931CCC">
      <w:pPr>
        <w:spacing w:line="360" w:lineRule="auto"/>
        <w:jc w:val="both"/>
        <w:rPr>
          <w:rFonts w:cs="Arial"/>
          <w:szCs w:val="22"/>
        </w:rPr>
      </w:pPr>
    </w:p>
    <w:p w14:paraId="5E441B65" w14:textId="77777777" w:rsidR="00931CCC" w:rsidRDefault="00931CCC">
      <w:pPr>
        <w:tabs>
          <w:tab w:val="left" w:pos="-1080"/>
          <w:tab w:val="left" w:pos="-720"/>
          <w:tab w:val="left" w:pos="0"/>
          <w:tab w:val="left" w:pos="450"/>
          <w:tab w:val="left" w:pos="900"/>
          <w:tab w:val="left" w:pos="1260"/>
          <w:tab w:val="left" w:pos="1620"/>
        </w:tabs>
        <w:spacing w:line="360" w:lineRule="auto"/>
        <w:jc w:val="both"/>
        <w:rPr>
          <w:rFonts w:cs="Arial"/>
        </w:rPr>
      </w:pPr>
      <w:r>
        <w:rPr>
          <w:rFonts w:cs="Arial"/>
        </w:rPr>
        <w:t>How easy is it for an accountant to determine whether the development project will result in an intangible asset, such as a patent, that will generate future economic benefits?</w:t>
      </w:r>
    </w:p>
    <w:p w14:paraId="5E441B66" w14:textId="77777777" w:rsidR="00931CCC" w:rsidRDefault="00931CCC">
      <w:pPr>
        <w:tabs>
          <w:tab w:val="left" w:pos="-1080"/>
          <w:tab w:val="left" w:pos="-720"/>
          <w:tab w:val="left" w:pos="0"/>
          <w:tab w:val="left" w:pos="450"/>
          <w:tab w:val="left" w:pos="900"/>
          <w:tab w:val="left" w:pos="1260"/>
          <w:tab w:val="left" w:pos="1620"/>
        </w:tabs>
        <w:spacing w:line="360" w:lineRule="auto"/>
        <w:jc w:val="both"/>
        <w:rPr>
          <w:rFonts w:cs="Arial"/>
        </w:rPr>
      </w:pPr>
    </w:p>
    <w:p w14:paraId="5E441B67" w14:textId="77777777" w:rsidR="00931CCC" w:rsidRDefault="00931CCC">
      <w:pPr>
        <w:spacing w:line="360" w:lineRule="auto"/>
        <w:rPr>
          <w:rFonts w:cs="Arial"/>
        </w:rPr>
      </w:pPr>
      <w:r>
        <w:rPr>
          <w:rFonts w:cs="Arial"/>
        </w:rPr>
        <w:t xml:space="preserve">Do the benefits of </w:t>
      </w:r>
      <w:r w:rsidR="008A0BCD">
        <w:rPr>
          <w:rFonts w:cs="Arial"/>
        </w:rPr>
        <w:t xml:space="preserve">making a determination of future benefits </w:t>
      </w:r>
      <w:r>
        <w:rPr>
          <w:rFonts w:cs="Arial"/>
        </w:rPr>
        <w:t xml:space="preserve">outweigh the cost of </w:t>
      </w:r>
      <w:r w:rsidR="008A0BCD">
        <w:rPr>
          <w:rFonts w:cs="Arial"/>
        </w:rPr>
        <w:t xml:space="preserve">making this determination?  </w:t>
      </w:r>
      <w:r>
        <w:rPr>
          <w:rFonts w:cs="Arial"/>
        </w:rPr>
        <w:t xml:space="preserve">No definitive answer exists for that question.  </w:t>
      </w:r>
      <w:r w:rsidR="008A0BCD">
        <w:rPr>
          <w:rFonts w:cs="Arial"/>
        </w:rPr>
        <w:t>Therefore, the option to simply expense all development costs</w:t>
      </w:r>
      <w:r w:rsidR="00051E51">
        <w:rPr>
          <w:rFonts w:cs="Arial"/>
        </w:rPr>
        <w:t xml:space="preserve"> under ASPE may be a good approach especially when there is lots of judgment involved in determining whether there will be future benefits. </w:t>
      </w:r>
    </w:p>
    <w:p w14:paraId="5E441B68" w14:textId="77777777" w:rsidR="00931CCC" w:rsidRPr="008620BB" w:rsidRDefault="00931CCC">
      <w:pPr>
        <w:pStyle w:val="Heading3"/>
        <w:spacing w:line="360" w:lineRule="auto"/>
        <w:rPr>
          <w:rFonts w:cs="Arial"/>
          <w:bCs/>
          <w:color w:val="000000" w:themeColor="text1"/>
          <w:sz w:val="28"/>
        </w:rPr>
      </w:pPr>
    </w:p>
    <w:p w14:paraId="5E441B69" w14:textId="5E27386F" w:rsidR="00931CCC" w:rsidRPr="008620BB" w:rsidRDefault="00931CCC">
      <w:pPr>
        <w:pStyle w:val="Heading3"/>
        <w:spacing w:line="360" w:lineRule="auto"/>
        <w:rPr>
          <w:rFonts w:cs="Arial"/>
          <w:b w:val="0"/>
          <w:bCs/>
          <w:color w:val="000000" w:themeColor="text1"/>
          <w:sz w:val="28"/>
        </w:rPr>
      </w:pPr>
      <w:r w:rsidRPr="008620BB">
        <w:rPr>
          <w:rFonts w:cs="Arial"/>
          <w:bCs/>
          <w:color w:val="000000" w:themeColor="text1"/>
          <w:sz w:val="28"/>
        </w:rPr>
        <w:t>Case 1-</w:t>
      </w:r>
      <w:proofErr w:type="gramStart"/>
      <w:r w:rsidRPr="008620BB">
        <w:rPr>
          <w:rFonts w:cs="Arial"/>
          <w:bCs/>
          <w:color w:val="000000" w:themeColor="text1"/>
          <w:sz w:val="28"/>
        </w:rPr>
        <w:t>2</w:t>
      </w:r>
      <w:r w:rsidR="003D2EEB" w:rsidRPr="008620BB">
        <w:rPr>
          <w:rFonts w:cs="Arial"/>
          <w:bCs/>
          <w:color w:val="000000" w:themeColor="text1"/>
          <w:sz w:val="28"/>
        </w:rPr>
        <w:t xml:space="preserve"> </w:t>
      </w:r>
      <w:r w:rsidR="007D57E3" w:rsidRPr="008620BB">
        <w:rPr>
          <w:rFonts w:cs="Arial"/>
          <w:bCs/>
          <w:color w:val="000000" w:themeColor="text1"/>
          <w:sz w:val="28"/>
        </w:rPr>
        <w:t xml:space="preserve"> </w:t>
      </w:r>
      <w:r w:rsidR="007D57E3" w:rsidRPr="008620BB">
        <w:rPr>
          <w:rFonts w:cs="Arial"/>
          <w:b w:val="0"/>
          <w:bCs/>
          <w:color w:val="000000" w:themeColor="text1"/>
          <w:szCs w:val="22"/>
        </w:rPr>
        <w:t>[</w:t>
      </w:r>
      <w:proofErr w:type="gramEnd"/>
      <w:r w:rsidR="007D57E3" w:rsidRPr="008620BB">
        <w:rPr>
          <w:rFonts w:cs="Arial"/>
          <w:b w:val="0"/>
          <w:bCs/>
          <w:color w:val="000000" w:themeColor="text1"/>
          <w:szCs w:val="22"/>
        </w:rPr>
        <w:t>IFRS:</w:t>
      </w:r>
      <w:r w:rsidR="007D57E3" w:rsidRPr="008620BB">
        <w:rPr>
          <w:rFonts w:cs="Arial"/>
          <w:bCs/>
          <w:color w:val="000000" w:themeColor="text1"/>
          <w:szCs w:val="22"/>
        </w:rPr>
        <w:t xml:space="preserve"> </w:t>
      </w:r>
      <w:hyperlink r:id="rId10" w:history="1">
        <w:r w:rsidR="003D2EEB" w:rsidRPr="008620BB">
          <w:rPr>
            <w:rStyle w:val="Hyperlink"/>
            <w:rFonts w:cs="Arial"/>
            <w:b w:val="0"/>
            <w:color w:val="000000" w:themeColor="text1"/>
            <w:szCs w:val="22"/>
            <w:u w:val="none"/>
            <w:shd w:val="clear" w:color="auto" w:fill="FFFFFF"/>
          </w:rPr>
          <w:t>The conceptual framework for financial reporting</w:t>
        </w:r>
      </w:hyperlink>
      <w:r w:rsidR="003D2EEB" w:rsidRPr="008620BB">
        <w:rPr>
          <w:b w:val="0"/>
          <w:color w:val="000000" w:themeColor="text1"/>
          <w:szCs w:val="22"/>
        </w:rPr>
        <w:t>: chapter 3]</w:t>
      </w:r>
    </w:p>
    <w:p w14:paraId="5E441B6A" w14:textId="77777777" w:rsidR="00931CCC" w:rsidRDefault="00931CCC" w:rsidP="00480113">
      <w:pPr>
        <w:pStyle w:val="Level1"/>
        <w:numPr>
          <w:ilvl w:val="0"/>
          <w:numId w:val="0"/>
        </w:numPr>
        <w:tabs>
          <w:tab w:val="left" w:pos="-1440"/>
          <w:tab w:val="left" w:pos="540"/>
        </w:tabs>
        <w:spacing w:line="360" w:lineRule="auto"/>
        <w:ind w:left="540" w:hanging="540"/>
        <w:rPr>
          <w:rFonts w:ascii="Arial" w:hAnsi="Arial" w:cs="Arial"/>
          <w:i/>
          <w:iCs/>
        </w:rPr>
      </w:pPr>
      <w:r>
        <w:rPr>
          <w:rFonts w:ascii="Arial" w:hAnsi="Arial" w:cs="Arial"/>
          <w:i/>
          <w:iCs/>
        </w:rPr>
        <w:t xml:space="preserve">(a) </w:t>
      </w:r>
      <w:r w:rsidR="00BE3762">
        <w:rPr>
          <w:rFonts w:ascii="Arial" w:hAnsi="Arial" w:cs="Arial"/>
          <w:i/>
          <w:iCs/>
        </w:rPr>
        <w:tab/>
      </w:r>
      <w:r>
        <w:rPr>
          <w:rFonts w:ascii="Arial" w:hAnsi="Arial" w:cs="Arial"/>
          <w:i/>
          <w:iCs/>
        </w:rPr>
        <w:t xml:space="preserve">Can any alternative to historical cost provide for fair presentation in financial reports or are the risks too great? Discuss. </w:t>
      </w:r>
    </w:p>
    <w:p w14:paraId="5E441B6B" w14:textId="77777777" w:rsidR="00931CCC" w:rsidRDefault="00931CCC">
      <w:pPr>
        <w:spacing w:line="360" w:lineRule="auto"/>
        <w:rPr>
          <w:rFonts w:cs="Arial"/>
        </w:rPr>
      </w:pPr>
    </w:p>
    <w:p w14:paraId="5E441B6C" w14:textId="77777777" w:rsidR="00931CCC" w:rsidRDefault="00051E51">
      <w:pPr>
        <w:spacing w:line="360" w:lineRule="auto"/>
        <w:rPr>
          <w:rFonts w:cs="Arial"/>
        </w:rPr>
      </w:pPr>
      <w:r>
        <w:rPr>
          <w:rFonts w:cs="Arial"/>
        </w:rPr>
        <w:t>W</w:t>
      </w:r>
      <w:r w:rsidR="00931CCC">
        <w:rPr>
          <w:rFonts w:cs="Arial"/>
        </w:rPr>
        <w:t>hen we refer to “</w:t>
      </w:r>
      <w:r>
        <w:rPr>
          <w:rFonts w:cs="Arial"/>
        </w:rPr>
        <w:t>present fairly</w:t>
      </w:r>
      <w:r w:rsidR="00931CCC">
        <w:rPr>
          <w:rFonts w:cs="Arial"/>
        </w:rPr>
        <w:t xml:space="preserve">” in the preparation of financial statements, we generally qualify the statement (as the auditors here have): “in accordance with generally accepted accounting principles.” That is, fair presentation has a contextual, rather than an absolute, meaning. In order for any presentation to be fair to the user, the basis of presentation must be known and understood, but does not necessarily have to follow any one particular model. </w:t>
      </w:r>
    </w:p>
    <w:p w14:paraId="5E441B6D" w14:textId="77777777" w:rsidR="00931CCC" w:rsidRDefault="00931CCC">
      <w:pPr>
        <w:spacing w:line="360" w:lineRule="auto"/>
        <w:rPr>
          <w:rFonts w:cs="Arial"/>
        </w:rPr>
      </w:pPr>
    </w:p>
    <w:p w14:paraId="5E441B6E" w14:textId="77777777" w:rsidR="00931CCC" w:rsidRDefault="003D0A23">
      <w:pPr>
        <w:spacing w:line="360" w:lineRule="auto"/>
        <w:rPr>
          <w:rFonts w:cs="Arial"/>
        </w:rPr>
      </w:pPr>
      <w:r>
        <w:rPr>
          <w:rFonts w:cs="Arial"/>
        </w:rPr>
        <w:t>F</w:t>
      </w:r>
      <w:r w:rsidR="00931CCC">
        <w:rPr>
          <w:rFonts w:cs="Arial"/>
        </w:rPr>
        <w:t xml:space="preserve">inancial statements may be considered to </w:t>
      </w:r>
      <w:r>
        <w:rPr>
          <w:rFonts w:cs="Arial"/>
        </w:rPr>
        <w:t>“present fairly”</w:t>
      </w:r>
      <w:r w:rsidR="00931CCC">
        <w:rPr>
          <w:rFonts w:cs="Arial"/>
        </w:rPr>
        <w:t xml:space="preserve"> whether prepared in accordance with the historical cost convention, replacement cost, general price level adjusted model, or </w:t>
      </w:r>
      <w:r>
        <w:rPr>
          <w:rFonts w:cs="Arial"/>
        </w:rPr>
        <w:t xml:space="preserve">net </w:t>
      </w:r>
      <w:r>
        <w:rPr>
          <w:rFonts w:cs="Arial"/>
        </w:rPr>
        <w:lastRenderedPageBreak/>
        <w:t>realized value</w:t>
      </w:r>
      <w:r w:rsidR="00931CCC">
        <w:rPr>
          <w:rFonts w:cs="Arial"/>
        </w:rPr>
        <w:t xml:space="preserve">. The important issue is that the model employed is known, understood, and consistently followed. </w:t>
      </w:r>
    </w:p>
    <w:p w14:paraId="5E441B6F" w14:textId="77777777" w:rsidR="00931CCC" w:rsidRDefault="00931CCC">
      <w:pPr>
        <w:spacing w:line="360" w:lineRule="auto"/>
        <w:rPr>
          <w:rFonts w:cs="Arial"/>
        </w:rPr>
      </w:pPr>
    </w:p>
    <w:p w14:paraId="5E441B70" w14:textId="77777777" w:rsidR="00931CCC" w:rsidRDefault="00931CCC">
      <w:pPr>
        <w:spacing w:line="360" w:lineRule="auto"/>
        <w:rPr>
          <w:rFonts w:cs="Arial"/>
        </w:rPr>
      </w:pPr>
      <w:r>
        <w:rPr>
          <w:rFonts w:cs="Arial"/>
        </w:rPr>
        <w:t xml:space="preserve">Arguably, </w:t>
      </w:r>
      <w:r w:rsidR="003D0A23">
        <w:rPr>
          <w:rFonts w:cs="Arial"/>
        </w:rPr>
        <w:t xml:space="preserve">fair </w:t>
      </w:r>
      <w:r>
        <w:rPr>
          <w:rFonts w:cs="Arial"/>
        </w:rPr>
        <w:t xml:space="preserve">value accounting is the model most likely to provide fair presentation, especially where asset values are volatile, as historical costs become rapidly out of date. For many long-established companies, historical costs for some assets are significantly out of date and of no value in support of managerial decisions. In managerial accounting, we have long recognized that the relevant costs are the current costs. In some European countries, an approach to financial reporting has developed that adopts more of a managerial approach and seeks to provide the most relevant information for decision-making. As a result, many companies follow alternatives to historical cost, generally </w:t>
      </w:r>
      <w:r w:rsidR="003D0A23">
        <w:rPr>
          <w:rFonts w:cs="Arial"/>
        </w:rPr>
        <w:t>fair values</w:t>
      </w:r>
      <w:r>
        <w:rPr>
          <w:rFonts w:cs="Arial"/>
        </w:rPr>
        <w:t xml:space="preserve">, in the financial statements. </w:t>
      </w:r>
    </w:p>
    <w:p w14:paraId="5E441B71" w14:textId="77777777" w:rsidR="00931CCC" w:rsidRDefault="00931CCC">
      <w:pPr>
        <w:spacing w:line="360" w:lineRule="auto"/>
        <w:rPr>
          <w:rFonts w:cs="Arial"/>
        </w:rPr>
      </w:pPr>
    </w:p>
    <w:p w14:paraId="5E441B72" w14:textId="77777777" w:rsidR="00931CCC" w:rsidRDefault="00931CCC">
      <w:pPr>
        <w:spacing w:line="360" w:lineRule="auto"/>
        <w:rPr>
          <w:rFonts w:cs="Arial"/>
        </w:rPr>
      </w:pPr>
      <w:r>
        <w:rPr>
          <w:rFonts w:cs="Arial"/>
        </w:rPr>
        <w:t>There are risks, however, that arise from the adoption of alternatives to historical cost. Some of these are the same risks that arise from the historical cost model in that the recorded amount may soon be out of date. Prices may go up or down, and even “</w:t>
      </w:r>
      <w:r w:rsidR="003D0A23">
        <w:rPr>
          <w:rFonts w:cs="Arial"/>
        </w:rPr>
        <w:t>fair values</w:t>
      </w:r>
      <w:r>
        <w:rPr>
          <w:rFonts w:cs="Arial"/>
        </w:rPr>
        <w:t xml:space="preserve">” of prior periods may display no relationship to </w:t>
      </w:r>
      <w:r w:rsidR="003D0A23">
        <w:rPr>
          <w:rFonts w:cs="Arial"/>
        </w:rPr>
        <w:t xml:space="preserve">fair values </w:t>
      </w:r>
      <w:r>
        <w:rPr>
          <w:rFonts w:cs="Arial"/>
        </w:rPr>
        <w:t xml:space="preserve">at the present date. Cost is always cost in a particular context and a cost determined for a particular context or decision may not be valid for a different context or decision and the user should be aware of this. </w:t>
      </w:r>
    </w:p>
    <w:p w14:paraId="5E441B73" w14:textId="77777777" w:rsidR="00931CCC" w:rsidRDefault="00931CCC">
      <w:pPr>
        <w:spacing w:line="360" w:lineRule="auto"/>
        <w:rPr>
          <w:rFonts w:cs="Arial"/>
        </w:rPr>
      </w:pPr>
    </w:p>
    <w:p w14:paraId="5E441B74" w14:textId="77777777" w:rsidR="00931CCC" w:rsidRDefault="00931CCC">
      <w:pPr>
        <w:spacing w:line="360" w:lineRule="auto"/>
        <w:rPr>
          <w:rFonts w:cs="Arial"/>
        </w:rPr>
      </w:pPr>
      <w:r>
        <w:rPr>
          <w:rFonts w:cs="Arial"/>
        </w:rPr>
        <w:t xml:space="preserve">The question of objective determination also arises. The reported values in </w:t>
      </w:r>
      <w:r w:rsidR="003D0A23">
        <w:rPr>
          <w:rFonts w:cs="Arial"/>
        </w:rPr>
        <w:t xml:space="preserve">fair value based </w:t>
      </w:r>
      <w:r>
        <w:rPr>
          <w:rFonts w:cs="Arial"/>
        </w:rPr>
        <w:t xml:space="preserve">financial statements are not directly supportable by arms’ length transactions. This introduces the risk of an important (and potentially deliberate) misstatement. This is the principal risk arising from </w:t>
      </w:r>
      <w:r w:rsidR="003D0A23">
        <w:rPr>
          <w:rFonts w:cs="Arial"/>
        </w:rPr>
        <w:t xml:space="preserve">fair </w:t>
      </w:r>
      <w:r>
        <w:rPr>
          <w:rFonts w:cs="Arial"/>
        </w:rPr>
        <w:t xml:space="preserve">value accounting, and leads many countries to have highly detailed rules for the preparation, audit, and publication of financial statement asset values under </w:t>
      </w:r>
      <w:r w:rsidR="003D0A23">
        <w:rPr>
          <w:rFonts w:cs="Arial"/>
        </w:rPr>
        <w:t>fair values</w:t>
      </w:r>
      <w:r>
        <w:rPr>
          <w:rFonts w:cs="Arial"/>
        </w:rPr>
        <w:t xml:space="preserve">. </w:t>
      </w:r>
    </w:p>
    <w:p w14:paraId="5E441B75" w14:textId="77777777" w:rsidR="00931CCC" w:rsidRPr="00625939" w:rsidRDefault="00931CCC">
      <w:pPr>
        <w:spacing w:line="360" w:lineRule="auto"/>
        <w:rPr>
          <w:rFonts w:cs="Arial"/>
          <w:szCs w:val="22"/>
        </w:rPr>
      </w:pPr>
    </w:p>
    <w:p w14:paraId="5E441B76" w14:textId="77777777" w:rsidR="00931CCC" w:rsidRPr="00625939" w:rsidRDefault="00931CCC" w:rsidP="00BE3762">
      <w:pPr>
        <w:pStyle w:val="Level1"/>
        <w:numPr>
          <w:ilvl w:val="0"/>
          <w:numId w:val="0"/>
        </w:numPr>
        <w:tabs>
          <w:tab w:val="left" w:pos="-1440"/>
          <w:tab w:val="left" w:pos="540"/>
        </w:tabs>
        <w:spacing w:line="360" w:lineRule="auto"/>
        <w:ind w:left="540" w:hanging="540"/>
        <w:rPr>
          <w:rFonts w:ascii="Arial" w:hAnsi="Arial" w:cs="Arial"/>
          <w:i/>
          <w:iCs/>
          <w:sz w:val="22"/>
          <w:szCs w:val="22"/>
        </w:rPr>
      </w:pPr>
      <w:r w:rsidRPr="008620BB">
        <w:rPr>
          <w:rFonts w:ascii="Arial" w:hAnsi="Arial" w:cs="Arial"/>
          <w:i/>
          <w:iCs/>
          <w:sz w:val="22"/>
          <w:szCs w:val="22"/>
        </w:rPr>
        <w:t xml:space="preserve">(b) </w:t>
      </w:r>
      <w:r w:rsidR="00BE3762" w:rsidRPr="008620BB">
        <w:rPr>
          <w:rFonts w:ascii="Arial" w:hAnsi="Arial" w:cs="Arial"/>
          <w:i/>
          <w:iCs/>
          <w:sz w:val="22"/>
          <w:szCs w:val="22"/>
        </w:rPr>
        <w:tab/>
      </w:r>
      <w:r w:rsidRPr="008620BB">
        <w:rPr>
          <w:rFonts w:ascii="Arial" w:hAnsi="Arial" w:cs="Arial"/>
          <w:i/>
          <w:iCs/>
          <w:sz w:val="22"/>
          <w:szCs w:val="22"/>
        </w:rPr>
        <w:t xml:space="preserve">Discuss the relative merits of historical cost accounting and </w:t>
      </w:r>
      <w:r w:rsidR="003D0A23" w:rsidRPr="008620BB">
        <w:rPr>
          <w:rFonts w:ascii="Arial" w:hAnsi="Arial" w:cs="Arial"/>
          <w:i/>
          <w:iCs/>
          <w:sz w:val="22"/>
          <w:szCs w:val="22"/>
        </w:rPr>
        <w:t xml:space="preserve">fair value </w:t>
      </w:r>
      <w:r w:rsidRPr="008620BB">
        <w:rPr>
          <w:rFonts w:ascii="Arial" w:hAnsi="Arial" w:cs="Arial"/>
          <w:i/>
          <w:iCs/>
          <w:sz w:val="22"/>
          <w:szCs w:val="22"/>
        </w:rPr>
        <w:t>accounting. Consider the question of the achievement of a balance between relevance and reliability</w:t>
      </w:r>
      <w:r w:rsidR="003D0A23" w:rsidRPr="008620BB">
        <w:rPr>
          <w:rFonts w:ascii="Arial" w:hAnsi="Arial" w:cs="Arial"/>
          <w:i/>
          <w:iCs/>
          <w:sz w:val="22"/>
          <w:szCs w:val="22"/>
        </w:rPr>
        <w:t xml:space="preserve"> when trying to “present fairly</w:t>
      </w:r>
      <w:r w:rsidR="003D0A23" w:rsidRPr="00625939">
        <w:rPr>
          <w:rFonts w:ascii="Arial" w:hAnsi="Arial" w:cs="Arial"/>
          <w:sz w:val="22"/>
          <w:szCs w:val="22"/>
        </w:rPr>
        <w:t>” the financial position of the reporting entity</w:t>
      </w:r>
      <w:r w:rsidRPr="00625939">
        <w:rPr>
          <w:rFonts w:ascii="Arial" w:hAnsi="Arial" w:cs="Arial"/>
          <w:i/>
          <w:iCs/>
          <w:sz w:val="22"/>
          <w:szCs w:val="22"/>
        </w:rPr>
        <w:t xml:space="preserve">. </w:t>
      </w:r>
    </w:p>
    <w:p w14:paraId="5E441B77" w14:textId="77777777" w:rsidR="00931CCC" w:rsidRDefault="00931CCC">
      <w:pPr>
        <w:spacing w:line="360" w:lineRule="auto"/>
        <w:rPr>
          <w:rFonts w:cs="Arial"/>
        </w:rPr>
      </w:pPr>
    </w:p>
    <w:p w14:paraId="5E441B78" w14:textId="77777777" w:rsidR="00931CCC" w:rsidRDefault="00931CCC">
      <w:pPr>
        <w:spacing w:line="360" w:lineRule="auto"/>
        <w:rPr>
          <w:rFonts w:cs="Arial"/>
        </w:rPr>
      </w:pPr>
      <w:r>
        <w:rPr>
          <w:rFonts w:cs="Arial"/>
        </w:rPr>
        <w:t xml:space="preserve">Students will provide a wide range of responses to this question; at this stage (unless they have been provided with supplementary material or have background from other courses) responses will just scratch the surface. The following note may be helpful:  </w:t>
      </w:r>
    </w:p>
    <w:p w14:paraId="5E441B79" w14:textId="77777777" w:rsidR="00931CCC" w:rsidRDefault="00931CCC">
      <w:pPr>
        <w:spacing w:line="360" w:lineRule="auto"/>
        <w:rPr>
          <w:rFonts w:cs="Arial"/>
        </w:rPr>
      </w:pPr>
    </w:p>
    <w:p w14:paraId="5E441B7A" w14:textId="77777777" w:rsidR="00931CCC" w:rsidRDefault="00931CCC">
      <w:pPr>
        <w:spacing w:line="360" w:lineRule="auto"/>
        <w:rPr>
          <w:rFonts w:cs="Arial"/>
        </w:rPr>
      </w:pPr>
      <w:r>
        <w:rPr>
          <w:rFonts w:cs="Arial"/>
        </w:rPr>
        <w:t xml:space="preserve">Historical cost accounting has the advantage that it is verifiable, and therefore tends to be more reliable and free from bias than </w:t>
      </w:r>
      <w:r w:rsidR="008E0D5C">
        <w:rPr>
          <w:rFonts w:cs="Arial"/>
        </w:rPr>
        <w:t>fair</w:t>
      </w:r>
      <w:r w:rsidR="00BE3762">
        <w:rPr>
          <w:rFonts w:cs="Arial"/>
        </w:rPr>
        <w:t xml:space="preserve"> value</w:t>
      </w:r>
      <w:r>
        <w:rPr>
          <w:rFonts w:cs="Arial"/>
        </w:rPr>
        <w:t xml:space="preserve"> accounting. Historical cost amounts are based on </w:t>
      </w:r>
      <w:r>
        <w:rPr>
          <w:rFonts w:cs="Arial"/>
        </w:rPr>
        <w:lastRenderedPageBreak/>
        <w:t xml:space="preserve">objective information and are more likely to have the “paper trail” of an actual transaction that provides support. Historical costs, however, are sunk costs and have limited value in support of decisions. They are particularly deficient if a long time has passed since the transaction occurred, or if there have been significant technical developments. These are serious difficulties which the accounting profession has tried to address through a variety of different mechanisms, but no other method has become universally acceptable as an answer to the problem and so historical cost accounting persists, largely because of inertia, and because no better model has emerged. </w:t>
      </w:r>
    </w:p>
    <w:p w14:paraId="5E441B7B" w14:textId="77777777" w:rsidR="00931CCC" w:rsidRDefault="00931CCC">
      <w:pPr>
        <w:spacing w:line="360" w:lineRule="auto"/>
        <w:rPr>
          <w:rFonts w:cs="Arial"/>
        </w:rPr>
      </w:pPr>
    </w:p>
    <w:p w14:paraId="5E441B7C" w14:textId="77777777" w:rsidR="00931CCC" w:rsidRDefault="003D0A23">
      <w:pPr>
        <w:spacing w:line="360" w:lineRule="auto"/>
        <w:rPr>
          <w:rFonts w:cs="Arial"/>
        </w:rPr>
      </w:pPr>
      <w:r>
        <w:rPr>
          <w:rFonts w:cs="Arial"/>
        </w:rPr>
        <w:t xml:space="preserve">Fair value </w:t>
      </w:r>
      <w:r w:rsidR="00931CCC">
        <w:rPr>
          <w:rFonts w:cs="Arial"/>
        </w:rPr>
        <w:t xml:space="preserve">accounting has the advantage of enhanced relevance because the values included have been determined at the current time, rather than at some uncertain past date. These amounts may therefore be better for investment decisions than historical costs. However, </w:t>
      </w:r>
      <w:r>
        <w:rPr>
          <w:rFonts w:cs="Arial"/>
        </w:rPr>
        <w:t xml:space="preserve">fair values </w:t>
      </w:r>
      <w:r w:rsidR="00BE3762">
        <w:rPr>
          <w:rFonts w:cs="Arial"/>
        </w:rPr>
        <w:t xml:space="preserve">may be </w:t>
      </w:r>
      <w:r w:rsidR="00931CCC">
        <w:rPr>
          <w:rFonts w:cs="Arial"/>
        </w:rPr>
        <w:t xml:space="preserve">potentially deficient in that they might not be objectively determined and lack reliability. At the worst, they could contain bias to support a particular management policy or decision. In other cases, they could be guesses or otherwise based on invalid information. Also, the use of </w:t>
      </w:r>
      <w:r>
        <w:rPr>
          <w:rFonts w:cs="Arial"/>
        </w:rPr>
        <w:t xml:space="preserve">fair value </w:t>
      </w:r>
      <w:r w:rsidR="00931CCC">
        <w:rPr>
          <w:rFonts w:cs="Arial"/>
        </w:rPr>
        <w:t xml:space="preserve">in financial statements in no manner makes the financial statements more “accurate,” although (if the amounts are carefully and objectively determined) there may be advantages in the fairness of presentation and therefore the relevance of financial statement amounts. </w:t>
      </w:r>
    </w:p>
    <w:p w14:paraId="5E441B7D" w14:textId="77777777" w:rsidR="00931CCC" w:rsidRDefault="00931CCC">
      <w:pPr>
        <w:spacing w:line="360" w:lineRule="auto"/>
        <w:rPr>
          <w:rFonts w:cs="Arial"/>
        </w:rPr>
      </w:pPr>
    </w:p>
    <w:p w14:paraId="5E441B7E" w14:textId="77777777" w:rsidR="00931CCC" w:rsidRDefault="00931CCC">
      <w:pPr>
        <w:pStyle w:val="BodyText2"/>
        <w:ind w:right="0"/>
      </w:pPr>
      <w:r>
        <w:t xml:space="preserve">With respect to income measurement, in a period of inflation, historical cost accounting will result in an overstatement of income. Income is overstated, as a portion of the reported profits must be reinvested in the business to maintain the productive capacity and not all profits are available for distribution. If all profits are distributed, the business will not have the capacity to replace the items that have been consumed in the process of earning income. </w:t>
      </w:r>
      <w:r w:rsidR="003D0A23">
        <w:t xml:space="preserve">Fair value accounting </w:t>
      </w:r>
      <w:r>
        <w:t xml:space="preserve">will alleviate this problem by charging to expense the </w:t>
      </w:r>
      <w:r w:rsidR="003D0A23">
        <w:t xml:space="preserve">fair value </w:t>
      </w:r>
      <w:r>
        <w:t xml:space="preserve">of all items consumed. With </w:t>
      </w:r>
      <w:r w:rsidR="003D0A23">
        <w:t xml:space="preserve">fair value </w:t>
      </w:r>
      <w:r>
        <w:t xml:space="preserve">charged to expense, the income remaining is a true income, potentially available for distribution without impairment of the productive capacity of the enterprise. </w:t>
      </w:r>
    </w:p>
    <w:p w14:paraId="5E441B7F" w14:textId="77777777" w:rsidR="00931CCC" w:rsidRDefault="00931CCC">
      <w:pPr>
        <w:spacing w:line="360" w:lineRule="auto"/>
        <w:rPr>
          <w:rFonts w:cs="Arial"/>
        </w:rPr>
      </w:pPr>
    </w:p>
    <w:p w14:paraId="5E441B80" w14:textId="77777777" w:rsidR="00931CCC" w:rsidRDefault="00931CCC">
      <w:pPr>
        <w:spacing w:line="360" w:lineRule="auto"/>
        <w:rPr>
          <w:rFonts w:cs="Arial"/>
        </w:rPr>
      </w:pPr>
      <w:r>
        <w:rPr>
          <w:rFonts w:cs="Arial"/>
        </w:rPr>
        <w:t xml:space="preserve">A further important point is that both the preparer and the user of financial statements should understand the basis of preparation of the statements, and the strengths and weaknesses of the approach employed. </w:t>
      </w:r>
    </w:p>
    <w:p w14:paraId="5E441B81" w14:textId="77777777" w:rsidR="00931CCC" w:rsidRDefault="00931CCC">
      <w:pPr>
        <w:spacing w:line="360" w:lineRule="auto"/>
        <w:rPr>
          <w:rFonts w:cs="Arial"/>
        </w:rPr>
      </w:pPr>
    </w:p>
    <w:p w14:paraId="5E441B82" w14:textId="00930712" w:rsidR="00931CCC" w:rsidRPr="006F3822" w:rsidRDefault="00931CCC" w:rsidP="00480113">
      <w:pPr>
        <w:tabs>
          <w:tab w:val="left" w:pos="540"/>
        </w:tabs>
        <w:spacing w:line="360" w:lineRule="auto"/>
        <w:ind w:left="540" w:hanging="540"/>
        <w:rPr>
          <w:rFonts w:cs="Arial"/>
          <w:sz w:val="20"/>
        </w:rPr>
      </w:pPr>
      <w:r w:rsidRPr="006F3822">
        <w:rPr>
          <w:rFonts w:cs="Arial"/>
          <w:i/>
          <w:iCs/>
          <w:snapToGrid w:val="0"/>
        </w:rPr>
        <w:lastRenderedPageBreak/>
        <w:t>(c)</w:t>
      </w:r>
      <w:r w:rsidRPr="006F3822">
        <w:rPr>
          <w:rFonts w:cs="Arial"/>
          <w:i/>
          <w:iCs/>
          <w:snapToGrid w:val="0"/>
        </w:rPr>
        <w:tab/>
        <w:t xml:space="preserve">Financial statements are now beyond the comprehension of the average person. Many of the accounting terms and methods of accounting used are simply too complex to understand just from reading the financial statements. Additional explanations should be provided with, or in, the financial statements, to help investors understand the financial statements. </w:t>
      </w:r>
      <w:r w:rsidR="00165510">
        <w:rPr>
          <w:rFonts w:cs="Arial"/>
          <w:i/>
          <w:iCs/>
          <w:snapToGrid w:val="0"/>
        </w:rPr>
        <w:t>Bri</w:t>
      </w:r>
      <w:r w:rsidR="00205818">
        <w:rPr>
          <w:rFonts w:cs="Arial"/>
          <w:i/>
          <w:iCs/>
          <w:snapToGrid w:val="0"/>
        </w:rPr>
        <w:t>e</w:t>
      </w:r>
      <w:r w:rsidR="00165510">
        <w:rPr>
          <w:rFonts w:cs="Arial"/>
          <w:i/>
          <w:iCs/>
          <w:snapToGrid w:val="0"/>
        </w:rPr>
        <w:t>fly d</w:t>
      </w:r>
      <w:r w:rsidRPr="006F3822">
        <w:rPr>
          <w:rFonts w:cs="Arial"/>
          <w:i/>
          <w:iCs/>
          <w:snapToGrid w:val="0"/>
        </w:rPr>
        <w:t>iscuss.</w:t>
      </w:r>
      <w:r w:rsidRPr="006F3822">
        <w:rPr>
          <w:rFonts w:cs="Arial"/>
          <w:sz w:val="20"/>
        </w:rPr>
        <w:t xml:space="preserve">   </w:t>
      </w:r>
    </w:p>
    <w:p w14:paraId="5E441B83" w14:textId="77777777" w:rsidR="00931CCC" w:rsidRDefault="00931CCC">
      <w:pPr>
        <w:spacing w:line="360" w:lineRule="auto"/>
        <w:rPr>
          <w:rFonts w:cs="Arial"/>
        </w:rPr>
      </w:pPr>
    </w:p>
    <w:p w14:paraId="5E441B84" w14:textId="77777777" w:rsidR="00931CCC" w:rsidRDefault="00931CCC">
      <w:pPr>
        <w:autoSpaceDE w:val="0"/>
        <w:autoSpaceDN w:val="0"/>
        <w:adjustRightInd w:val="0"/>
        <w:spacing w:line="360" w:lineRule="auto"/>
        <w:rPr>
          <w:rFonts w:cs="Arial"/>
        </w:rPr>
      </w:pPr>
      <w:r>
        <w:rPr>
          <w:rFonts w:cs="Arial"/>
        </w:rPr>
        <w:t xml:space="preserve">It is true that financial statements are complicated by accounting methods, such as the method of accounting for deferred income taxes, foreign currency translation, and so on.  However, some of these complexities cannot be avoided.  The business environment and business transactions are themselves more complex.  Since the financial statements try to reflect these business events, it is inevitable that the financial statements will be more complex.  Thus, it is not accounting methods per se that make financial statements difficult to understand.  </w:t>
      </w:r>
    </w:p>
    <w:p w14:paraId="5E441B85" w14:textId="77777777" w:rsidR="00931CCC" w:rsidRDefault="00931CCC">
      <w:pPr>
        <w:autoSpaceDE w:val="0"/>
        <w:autoSpaceDN w:val="0"/>
        <w:adjustRightInd w:val="0"/>
        <w:spacing w:line="360" w:lineRule="auto"/>
        <w:rPr>
          <w:rFonts w:cs="Arial"/>
        </w:rPr>
      </w:pPr>
    </w:p>
    <w:p w14:paraId="5E441B86" w14:textId="77777777" w:rsidR="00931CCC" w:rsidRDefault="00931CCC">
      <w:pPr>
        <w:autoSpaceDE w:val="0"/>
        <w:autoSpaceDN w:val="0"/>
        <w:adjustRightInd w:val="0"/>
        <w:spacing w:line="360" w:lineRule="auto"/>
        <w:rPr>
          <w:rFonts w:cs="Arial"/>
        </w:rPr>
      </w:pPr>
      <w:r>
        <w:rPr>
          <w:rFonts w:cs="Arial"/>
        </w:rPr>
        <w:t>Financial statements are not directed at the average person, so they cannot be criticized on the grounds that they are beyond the comprehension of the “average person”.  Instead, they are intended for users with a reasonable understanding of financial statements.  The question then becomes should additional explanations be provided for users who have a reasonable understanding of the financial statements?  The answer depends on what type of information the “explanations” will contain.</w:t>
      </w:r>
    </w:p>
    <w:p w14:paraId="5E441B87" w14:textId="77777777" w:rsidR="00931CCC" w:rsidRDefault="00931CCC">
      <w:pPr>
        <w:autoSpaceDE w:val="0"/>
        <w:autoSpaceDN w:val="0"/>
        <w:adjustRightInd w:val="0"/>
        <w:spacing w:line="360" w:lineRule="auto"/>
        <w:rPr>
          <w:rFonts w:cs="Arial"/>
        </w:rPr>
      </w:pPr>
    </w:p>
    <w:p w14:paraId="5E441B88" w14:textId="77777777" w:rsidR="00931CCC" w:rsidRDefault="00931CCC">
      <w:pPr>
        <w:autoSpaceDE w:val="0"/>
        <w:autoSpaceDN w:val="0"/>
        <w:adjustRightInd w:val="0"/>
        <w:spacing w:line="360" w:lineRule="auto"/>
        <w:rPr>
          <w:rFonts w:cs="Arial"/>
        </w:rPr>
      </w:pPr>
      <w:r>
        <w:rPr>
          <w:rFonts w:cs="Arial"/>
        </w:rPr>
        <w:t>Additional explanations might be of three types:</w:t>
      </w:r>
    </w:p>
    <w:p w14:paraId="5E441B89" w14:textId="77777777" w:rsidR="00931CCC" w:rsidRDefault="00931CCC">
      <w:pPr>
        <w:autoSpaceDE w:val="0"/>
        <w:autoSpaceDN w:val="0"/>
        <w:adjustRightInd w:val="0"/>
        <w:spacing w:line="360" w:lineRule="auto"/>
        <w:rPr>
          <w:rFonts w:cs="Arial"/>
        </w:rPr>
      </w:pPr>
    </w:p>
    <w:p w14:paraId="5E441B8A" w14:textId="77777777" w:rsidR="00931CCC" w:rsidRDefault="00931CCC">
      <w:pPr>
        <w:numPr>
          <w:ilvl w:val="0"/>
          <w:numId w:val="15"/>
        </w:numPr>
        <w:autoSpaceDE w:val="0"/>
        <w:autoSpaceDN w:val="0"/>
        <w:adjustRightInd w:val="0"/>
        <w:spacing w:line="360" w:lineRule="auto"/>
        <w:ind w:left="0" w:firstLine="0"/>
        <w:rPr>
          <w:rFonts w:cs="Arial"/>
        </w:rPr>
      </w:pPr>
      <w:r>
        <w:rPr>
          <w:rFonts w:cs="Arial"/>
        </w:rPr>
        <w:t>They could provide more detail on information that is already contained in financial statements.  For example, certain dollar amounts reported in the financial statements might be broken down into more detail, or the significance of certain amounts might be discussed;</w:t>
      </w:r>
    </w:p>
    <w:p w14:paraId="5E441B8B" w14:textId="77777777" w:rsidR="00931CCC" w:rsidRDefault="00931CCC">
      <w:pPr>
        <w:numPr>
          <w:ilvl w:val="0"/>
          <w:numId w:val="15"/>
        </w:numPr>
        <w:autoSpaceDE w:val="0"/>
        <w:autoSpaceDN w:val="0"/>
        <w:adjustRightInd w:val="0"/>
        <w:spacing w:line="360" w:lineRule="auto"/>
        <w:ind w:left="0" w:firstLine="0"/>
        <w:rPr>
          <w:rFonts w:cs="Arial"/>
        </w:rPr>
      </w:pPr>
      <w:r>
        <w:rPr>
          <w:rFonts w:cs="Arial"/>
        </w:rPr>
        <w:t>They could make information that is currently in the financial statements easier to understand by explaining technical accounting terms and concepts used in the statements; or</w:t>
      </w:r>
    </w:p>
    <w:p w14:paraId="5E441B8C" w14:textId="77777777" w:rsidR="00931CCC" w:rsidRDefault="00931CCC">
      <w:pPr>
        <w:numPr>
          <w:ilvl w:val="0"/>
          <w:numId w:val="15"/>
        </w:numPr>
        <w:autoSpaceDE w:val="0"/>
        <w:autoSpaceDN w:val="0"/>
        <w:adjustRightInd w:val="0"/>
        <w:spacing w:line="360" w:lineRule="auto"/>
        <w:ind w:left="0" w:firstLine="0"/>
        <w:rPr>
          <w:rFonts w:cs="Arial"/>
        </w:rPr>
      </w:pPr>
      <w:r>
        <w:rPr>
          <w:rFonts w:cs="Arial"/>
        </w:rPr>
        <w:t xml:space="preserve">They could provide entirely new information not included in financial statements that might help users better understand the significance of the information that appears in the financial statements.  </w:t>
      </w:r>
    </w:p>
    <w:p w14:paraId="5E441B8D" w14:textId="77777777" w:rsidR="00931CCC" w:rsidRDefault="00931CCC">
      <w:pPr>
        <w:autoSpaceDE w:val="0"/>
        <w:autoSpaceDN w:val="0"/>
        <w:adjustRightInd w:val="0"/>
        <w:spacing w:line="360" w:lineRule="auto"/>
        <w:rPr>
          <w:rFonts w:cs="Arial"/>
        </w:rPr>
      </w:pPr>
    </w:p>
    <w:p w14:paraId="5E441B8E" w14:textId="77777777" w:rsidR="00931CCC" w:rsidRDefault="00931CCC">
      <w:pPr>
        <w:autoSpaceDE w:val="0"/>
        <w:autoSpaceDN w:val="0"/>
        <w:adjustRightInd w:val="0"/>
        <w:spacing w:line="360" w:lineRule="auto"/>
        <w:rPr>
          <w:rFonts w:cs="Arial"/>
        </w:rPr>
      </w:pPr>
      <w:r>
        <w:rPr>
          <w:rFonts w:cs="Arial"/>
        </w:rPr>
        <w:t xml:space="preserve">In all three cases, the information provided might concern the future or the past.  It is important to note that for publicly accountable enterprises, there is already a considerable amount of supplemental information provided in a company’s MD&amp;A.  This document provides supplementary discussion of financial results and in many cases explanations of accounting </w:t>
      </w:r>
      <w:r>
        <w:rPr>
          <w:rFonts w:cs="Arial"/>
        </w:rPr>
        <w:lastRenderedPageBreak/>
        <w:t xml:space="preserve">treatments used in a company’s financial statements for the period.  Further, it is important to note that at some point additional information may “overload” the user.  Too much information may achieve the undesired result of making financial statements more difficult to understand.  This must be taken into account when considering supplemental information and explanations.  </w:t>
      </w:r>
    </w:p>
    <w:p w14:paraId="5E441B8F" w14:textId="77777777" w:rsidR="00931CCC" w:rsidRDefault="00931CCC">
      <w:pPr>
        <w:spacing w:line="360" w:lineRule="auto"/>
        <w:ind w:left="720" w:right="720"/>
        <w:rPr>
          <w:rFonts w:cs="Arial"/>
          <w:highlight w:val="yellow"/>
        </w:rPr>
      </w:pPr>
    </w:p>
    <w:p w14:paraId="5E441B90" w14:textId="77777777" w:rsidR="00931CCC" w:rsidRDefault="00931CCC">
      <w:pPr>
        <w:pStyle w:val="Heading4"/>
        <w:spacing w:line="360" w:lineRule="auto"/>
        <w:rPr>
          <w:rFonts w:cs="Arial"/>
          <w:bCs/>
        </w:rPr>
      </w:pPr>
      <w:r>
        <w:rPr>
          <w:rFonts w:cs="Arial"/>
          <w:bCs/>
        </w:rPr>
        <w:t xml:space="preserve">CASE 1-3   </w:t>
      </w:r>
    </w:p>
    <w:p w14:paraId="5E441B91" w14:textId="77777777" w:rsidR="00931CCC" w:rsidRDefault="00931CCC">
      <w:pPr>
        <w:spacing w:line="360" w:lineRule="auto"/>
        <w:rPr>
          <w:rFonts w:cs="Arial"/>
          <w:lang w:val="en-GB"/>
        </w:rPr>
      </w:pPr>
      <w:r>
        <w:rPr>
          <w:rFonts w:cs="Arial"/>
          <w:lang w:val="en-GB"/>
        </w:rPr>
        <w:t>Case Note</w:t>
      </w:r>
    </w:p>
    <w:p w14:paraId="5E441B92" w14:textId="77777777" w:rsidR="00931CCC" w:rsidRDefault="00931CCC">
      <w:pPr>
        <w:spacing w:line="360" w:lineRule="auto"/>
        <w:rPr>
          <w:rFonts w:cs="Arial"/>
          <w:lang w:val="en-GB"/>
        </w:rPr>
      </w:pPr>
      <w:r>
        <w:rPr>
          <w:rFonts w:cs="Arial"/>
          <w:lang w:val="en-GB"/>
        </w:rPr>
        <w:t xml:space="preserve">Ajax Communications presents the classic case of the conflict among the accounting standards that are in force in different jurisdictions. Each set of requirements can be seen to be correct, although dramatically different amounts may be presented on a variety of dimensions.  Certainly, the standard-setters (and, generally, the accounting practitioners) of each jurisdiction believe that the requirements in place locally are the best requirements available, in that they present results that are consistent with the prevailing views on a fair presentation of both financial performance and financial position. Although the conceptual frameworks are very similar under </w:t>
      </w:r>
      <w:r w:rsidR="007F2533">
        <w:rPr>
          <w:rFonts w:cs="Arial"/>
          <w:lang w:val="en-GB"/>
        </w:rPr>
        <w:t>IFRS</w:t>
      </w:r>
      <w:r>
        <w:rPr>
          <w:rFonts w:cs="Arial"/>
          <w:lang w:val="en-GB"/>
        </w:rPr>
        <w:t xml:space="preserve"> and U.S. GAAP, the actual requirements in place are quite different in some areas, and there is no guidance in choosing the right set of accounting standards to base decisions upon.  Harmonization efforts are ongoing to resolve these differences, yet regardless of the changes in accounting standards, there will remain differences in interpretation of the requirements and differences in the practices that are in place. </w:t>
      </w:r>
    </w:p>
    <w:p w14:paraId="5E441B93" w14:textId="77777777" w:rsidR="00931CCC" w:rsidRDefault="00931CCC">
      <w:pPr>
        <w:spacing w:line="360" w:lineRule="auto"/>
        <w:rPr>
          <w:rFonts w:cs="Arial"/>
          <w:lang w:val="en-GB"/>
        </w:rPr>
      </w:pPr>
    </w:p>
    <w:p w14:paraId="5E441B94" w14:textId="77777777" w:rsidR="00931CCC" w:rsidRDefault="00931CCC">
      <w:pPr>
        <w:spacing w:line="360" w:lineRule="auto"/>
        <w:rPr>
          <w:rFonts w:cs="Arial"/>
          <w:lang w:val="en-GB"/>
        </w:rPr>
      </w:pPr>
      <w:r>
        <w:rPr>
          <w:rFonts w:cs="Arial"/>
          <w:lang w:val="en-GB"/>
        </w:rPr>
        <w:t xml:space="preserve">Responses to specific questions: </w:t>
      </w:r>
    </w:p>
    <w:p w14:paraId="5E441B95" w14:textId="77777777" w:rsidR="00931CCC" w:rsidRDefault="00931CCC">
      <w:pPr>
        <w:spacing w:line="360" w:lineRule="auto"/>
        <w:rPr>
          <w:rFonts w:cs="Arial"/>
          <w:lang w:val="en-GB"/>
        </w:rPr>
      </w:pPr>
    </w:p>
    <w:p w14:paraId="5E441B96" w14:textId="77777777" w:rsidR="00931CCC" w:rsidRDefault="00931CCC" w:rsidP="00BE3762">
      <w:pPr>
        <w:pStyle w:val="Level1"/>
        <w:numPr>
          <w:ilvl w:val="0"/>
          <w:numId w:val="0"/>
        </w:numPr>
        <w:tabs>
          <w:tab w:val="left" w:pos="-1440"/>
          <w:tab w:val="num" w:pos="360"/>
        </w:tabs>
        <w:spacing w:line="360" w:lineRule="auto"/>
        <w:ind w:left="360" w:hanging="360"/>
        <w:rPr>
          <w:rFonts w:ascii="Arial" w:hAnsi="Arial" w:cs="Arial"/>
          <w:i/>
          <w:sz w:val="22"/>
        </w:rPr>
      </w:pPr>
      <w:r>
        <w:rPr>
          <w:rFonts w:ascii="Arial" w:hAnsi="Arial" w:cs="Arial"/>
          <w:i/>
          <w:sz w:val="22"/>
        </w:rPr>
        <w:t xml:space="preserve">(a) </w:t>
      </w:r>
      <w:r w:rsidR="00BE3762">
        <w:rPr>
          <w:rFonts w:ascii="Arial" w:hAnsi="Arial" w:cs="Arial"/>
          <w:i/>
          <w:sz w:val="22"/>
        </w:rPr>
        <w:tab/>
      </w:r>
      <w:r>
        <w:rPr>
          <w:rFonts w:ascii="Arial" w:hAnsi="Arial" w:cs="Arial"/>
          <w:i/>
          <w:sz w:val="22"/>
        </w:rPr>
        <w:t>As John McCurdy, outline the initial approach that you will take in order to determine the reasons for the difference in the numbers.</w:t>
      </w:r>
    </w:p>
    <w:p w14:paraId="5E441B97" w14:textId="77777777" w:rsidR="00931CCC" w:rsidRDefault="00931CCC">
      <w:pPr>
        <w:pStyle w:val="Level1"/>
        <w:numPr>
          <w:ilvl w:val="0"/>
          <w:numId w:val="0"/>
        </w:numPr>
        <w:tabs>
          <w:tab w:val="left" w:pos="-1440"/>
          <w:tab w:val="num" w:pos="720"/>
        </w:tabs>
        <w:spacing w:line="360" w:lineRule="auto"/>
        <w:ind w:left="720" w:hanging="720"/>
        <w:rPr>
          <w:rFonts w:ascii="Arial" w:hAnsi="Arial" w:cs="Arial"/>
          <w:i/>
          <w:sz w:val="22"/>
        </w:rPr>
      </w:pPr>
    </w:p>
    <w:p w14:paraId="5E441B98" w14:textId="77777777" w:rsidR="00931CCC" w:rsidRDefault="00931CCC">
      <w:pPr>
        <w:spacing w:line="360" w:lineRule="auto"/>
        <w:rPr>
          <w:rFonts w:cs="Arial"/>
        </w:rPr>
      </w:pPr>
      <w:r>
        <w:rPr>
          <w:rFonts w:cs="Arial"/>
        </w:rPr>
        <w:t>Items throughout the income statement</w:t>
      </w:r>
      <w:r w:rsidR="003517E4">
        <w:rPr>
          <w:rFonts w:cs="Arial"/>
        </w:rPr>
        <w:t xml:space="preserve"> </w:t>
      </w:r>
      <w:r>
        <w:rPr>
          <w:rFonts w:cs="Arial"/>
        </w:rPr>
        <w:t xml:space="preserve">differ between the two sets of financial statements, as do all the aspects of the balance sheet presented. Although it is not unusual to have some differences between U.S. GAAP and </w:t>
      </w:r>
      <w:r w:rsidR="007F2533">
        <w:rPr>
          <w:rFonts w:cs="Arial"/>
        </w:rPr>
        <w:t>IFRS</w:t>
      </w:r>
      <w:r>
        <w:rPr>
          <w:rFonts w:cs="Arial"/>
        </w:rPr>
        <w:t xml:space="preserve">, the magnitude of the differences would not usually be of the size in the </w:t>
      </w:r>
      <w:proofErr w:type="spellStart"/>
      <w:r>
        <w:rPr>
          <w:rFonts w:cs="Arial"/>
        </w:rPr>
        <w:t>Waqaas</w:t>
      </w:r>
      <w:proofErr w:type="spellEnd"/>
      <w:r>
        <w:rPr>
          <w:rFonts w:cs="Arial"/>
        </w:rPr>
        <w:t xml:space="preserve"> case. As a start, McCurdy may be able to determine where some of the difference arises by examining the summary of significant accounting policies included with the financial statements.  This source will not identify all of the accounting policies in place.  More detailed knowledge of the accounting policies in place could come from the specific notes to the financial statements. In addition</w:t>
      </w:r>
      <w:r w:rsidR="00BE3762">
        <w:rPr>
          <w:rFonts w:cs="Arial"/>
        </w:rPr>
        <w:t>,</w:t>
      </w:r>
      <w:r>
        <w:rPr>
          <w:rFonts w:cs="Arial"/>
        </w:rPr>
        <w:t xml:space="preserve"> he should search for publications or web sites that </w:t>
      </w:r>
      <w:r>
        <w:rPr>
          <w:rFonts w:cs="Arial"/>
        </w:rPr>
        <w:lastRenderedPageBreak/>
        <w:t xml:space="preserve">discuss differences in accounting policies among countries. A website provided by Deloitte (www.iasplus.com) could also provide useful information. </w:t>
      </w:r>
    </w:p>
    <w:p w14:paraId="5E441B99" w14:textId="77777777" w:rsidR="00931CCC" w:rsidRDefault="00931CCC">
      <w:pPr>
        <w:spacing w:line="360" w:lineRule="auto"/>
        <w:rPr>
          <w:rFonts w:cs="Arial"/>
        </w:rPr>
      </w:pPr>
    </w:p>
    <w:p w14:paraId="5E441B9A" w14:textId="77777777" w:rsidR="00931CCC" w:rsidRDefault="00931CCC" w:rsidP="00BE3762">
      <w:pPr>
        <w:tabs>
          <w:tab w:val="left" w:pos="360"/>
        </w:tabs>
        <w:spacing w:line="360" w:lineRule="auto"/>
        <w:ind w:left="360" w:hanging="360"/>
        <w:rPr>
          <w:rFonts w:cs="Arial"/>
          <w:i/>
        </w:rPr>
      </w:pPr>
      <w:r>
        <w:rPr>
          <w:rFonts w:cs="Arial"/>
        </w:rPr>
        <w:t xml:space="preserve">(b) </w:t>
      </w:r>
      <w:r w:rsidR="00BE3762">
        <w:rPr>
          <w:rFonts w:cs="Arial"/>
        </w:rPr>
        <w:tab/>
      </w:r>
      <w:r>
        <w:rPr>
          <w:rFonts w:cs="Arial"/>
          <w:i/>
        </w:rPr>
        <w:t>List some of the obvious items that need resolution and indicate some of the possible causes of the discrepancies.</w:t>
      </w:r>
    </w:p>
    <w:p w14:paraId="5E441B9B" w14:textId="2382DDFC" w:rsidR="003517E4" w:rsidRDefault="00931CCC" w:rsidP="00602483">
      <w:pPr>
        <w:numPr>
          <w:ilvl w:val="0"/>
          <w:numId w:val="7"/>
        </w:numPr>
        <w:tabs>
          <w:tab w:val="left" w:pos="-1440"/>
        </w:tabs>
        <w:spacing w:line="360" w:lineRule="auto"/>
        <w:rPr>
          <w:rFonts w:cs="Arial"/>
        </w:rPr>
      </w:pPr>
      <w:r w:rsidRPr="00855A37">
        <w:rPr>
          <w:rFonts w:cs="Arial"/>
        </w:rPr>
        <w:t xml:space="preserve">Why are operating income and </w:t>
      </w:r>
      <w:r w:rsidR="00D055CF">
        <w:rPr>
          <w:rFonts w:cs="Arial"/>
        </w:rPr>
        <w:t xml:space="preserve">net </w:t>
      </w:r>
      <w:r w:rsidRPr="00855A37">
        <w:rPr>
          <w:rFonts w:cs="Arial"/>
        </w:rPr>
        <w:t xml:space="preserve">income higher under </w:t>
      </w:r>
      <w:r w:rsidR="007F2533">
        <w:rPr>
          <w:rFonts w:cs="Arial"/>
        </w:rPr>
        <w:t>IFRS</w:t>
      </w:r>
      <w:r w:rsidRPr="00855A37">
        <w:rPr>
          <w:rFonts w:cs="Arial"/>
        </w:rPr>
        <w:t xml:space="preserve"> for the same period? </w:t>
      </w:r>
    </w:p>
    <w:p w14:paraId="3CC3E283" w14:textId="6E8AD8F9" w:rsidR="00165510" w:rsidRDefault="00165510" w:rsidP="00602483">
      <w:pPr>
        <w:numPr>
          <w:ilvl w:val="0"/>
          <w:numId w:val="7"/>
        </w:numPr>
        <w:tabs>
          <w:tab w:val="left" w:pos="-1440"/>
        </w:tabs>
        <w:spacing w:line="360" w:lineRule="auto"/>
        <w:rPr>
          <w:rFonts w:cs="Arial"/>
        </w:rPr>
      </w:pPr>
      <w:r>
        <w:rPr>
          <w:rFonts w:cs="Arial"/>
        </w:rPr>
        <w:t>.</w:t>
      </w:r>
    </w:p>
    <w:p w14:paraId="5E441B9D" w14:textId="77777777" w:rsidR="00931CCC" w:rsidRDefault="00931CCC">
      <w:pPr>
        <w:numPr>
          <w:ilvl w:val="0"/>
          <w:numId w:val="7"/>
        </w:numPr>
        <w:tabs>
          <w:tab w:val="left" w:pos="-1440"/>
        </w:tabs>
        <w:spacing w:line="360" w:lineRule="auto"/>
        <w:rPr>
          <w:rFonts w:cs="Arial"/>
        </w:rPr>
      </w:pPr>
      <w:r>
        <w:rPr>
          <w:rFonts w:cs="Arial"/>
        </w:rPr>
        <w:t xml:space="preserve">What is the nature of the accounting policy differences that have </w:t>
      </w:r>
      <w:r w:rsidR="008121FA">
        <w:rPr>
          <w:rFonts w:cs="Arial"/>
        </w:rPr>
        <w:t>led</w:t>
      </w:r>
      <w:r>
        <w:rPr>
          <w:rFonts w:cs="Arial"/>
        </w:rPr>
        <w:t xml:space="preserve"> to such dramatic differences in asset valuation between the two sets of financial statements?  (Two possible reasons: (1) consolidation of some investments under </w:t>
      </w:r>
      <w:r w:rsidR="007F2533">
        <w:rPr>
          <w:rFonts w:cs="Arial"/>
        </w:rPr>
        <w:t>IFRS</w:t>
      </w:r>
      <w:r>
        <w:rPr>
          <w:rFonts w:cs="Arial"/>
        </w:rPr>
        <w:t xml:space="preserve"> that would not be consolidated in the U.S. financial statements; this might explain the differences in the investments account, and arises because there are different requirements for the determination of when an investment is classified as a subsidiary and consolidated; and (2) the use of LIFO in the U.S. and FIFO under </w:t>
      </w:r>
      <w:r w:rsidR="007F2533">
        <w:rPr>
          <w:rFonts w:cs="Arial"/>
        </w:rPr>
        <w:t>IFRS</w:t>
      </w:r>
      <w:r>
        <w:rPr>
          <w:rFonts w:cs="Arial"/>
        </w:rPr>
        <w:t xml:space="preserve"> might produce different results if there have been major changes in inventory costs during the year.)</w:t>
      </w:r>
    </w:p>
    <w:p w14:paraId="5E441B9E" w14:textId="77777777" w:rsidR="00931CCC" w:rsidRDefault="00931CCC">
      <w:pPr>
        <w:numPr>
          <w:ilvl w:val="0"/>
          <w:numId w:val="8"/>
        </w:numPr>
        <w:spacing w:line="360" w:lineRule="auto"/>
        <w:rPr>
          <w:rFonts w:cs="Arial"/>
        </w:rPr>
      </w:pPr>
      <w:r>
        <w:rPr>
          <w:rFonts w:cs="Arial"/>
        </w:rPr>
        <w:t xml:space="preserve">Given the higher asset values under </w:t>
      </w:r>
      <w:r w:rsidR="007F2533">
        <w:rPr>
          <w:rFonts w:cs="Arial"/>
        </w:rPr>
        <w:t>IFRS</w:t>
      </w:r>
      <w:r>
        <w:rPr>
          <w:rFonts w:cs="Arial"/>
        </w:rPr>
        <w:t>, the company may be using the revaluation option under IFRS.</w:t>
      </w:r>
    </w:p>
    <w:p w14:paraId="5E441B9F" w14:textId="77777777" w:rsidR="00931CCC" w:rsidRDefault="00931CCC">
      <w:pPr>
        <w:numPr>
          <w:ilvl w:val="0"/>
          <w:numId w:val="8"/>
        </w:numPr>
        <w:tabs>
          <w:tab w:val="left" w:pos="-1440"/>
        </w:tabs>
        <w:spacing w:line="360" w:lineRule="auto"/>
        <w:rPr>
          <w:rFonts w:cs="Arial"/>
        </w:rPr>
      </w:pPr>
      <w:r>
        <w:rPr>
          <w:rFonts w:cs="Arial"/>
        </w:rPr>
        <w:t xml:space="preserve">What items, if any, have been deferred and are being amortized under </w:t>
      </w:r>
      <w:r w:rsidR="007F2533">
        <w:rPr>
          <w:rFonts w:cs="Arial"/>
        </w:rPr>
        <w:t>IFRS</w:t>
      </w:r>
      <w:r>
        <w:rPr>
          <w:rFonts w:cs="Arial"/>
        </w:rPr>
        <w:t xml:space="preserve"> that are directly expensed in the U.S. statements? (R&amp;D comes to mind) Does this account for the difference in intangibles? </w:t>
      </w:r>
    </w:p>
    <w:p w14:paraId="5E441BA0" w14:textId="77777777" w:rsidR="00931CCC" w:rsidRDefault="00931CCC">
      <w:pPr>
        <w:numPr>
          <w:ilvl w:val="0"/>
          <w:numId w:val="8"/>
        </w:numPr>
        <w:tabs>
          <w:tab w:val="left" w:pos="-1440"/>
        </w:tabs>
        <w:spacing w:line="360" w:lineRule="auto"/>
        <w:rPr>
          <w:rFonts w:cs="Arial"/>
        </w:rPr>
      </w:pPr>
      <w:r>
        <w:rPr>
          <w:rFonts w:cs="Arial"/>
        </w:rPr>
        <w:t xml:space="preserve">A variety of other specific points could be raised, including, for example, policies associated with tax allocation. </w:t>
      </w:r>
    </w:p>
    <w:p w14:paraId="5E441BA1" w14:textId="77777777" w:rsidR="00931CCC" w:rsidRDefault="00931CCC">
      <w:pPr>
        <w:spacing w:line="360" w:lineRule="auto"/>
        <w:rPr>
          <w:rFonts w:cs="Arial"/>
        </w:rPr>
      </w:pPr>
    </w:p>
    <w:p w14:paraId="5E441BA2" w14:textId="77777777" w:rsidR="00931CCC" w:rsidRDefault="00931CCC">
      <w:pPr>
        <w:spacing w:line="360" w:lineRule="auto"/>
        <w:rPr>
          <w:rFonts w:cs="Arial"/>
        </w:rPr>
      </w:pPr>
      <w:r>
        <w:rPr>
          <w:rFonts w:cs="Arial"/>
        </w:rPr>
        <w:t>(c)  In your opinion, which GAAP best reflects economic reality? Briefly explain.</w:t>
      </w:r>
    </w:p>
    <w:p w14:paraId="5E441BA3" w14:textId="2DE4F551" w:rsidR="00931CCC" w:rsidRDefault="00931CCC">
      <w:pPr>
        <w:spacing w:line="360" w:lineRule="auto"/>
        <w:rPr>
          <w:rFonts w:cs="Arial"/>
        </w:rPr>
      </w:pPr>
      <w:r>
        <w:rPr>
          <w:rFonts w:cs="Arial"/>
        </w:rPr>
        <w:t xml:space="preserve">Without knowing what has caused the difference, it is hard to determine which GAAP best reflects economic reality. Although the differences represent a dilemma to the Board of Directors in this case, neither set of financial statements may be said to be unequivocally superior to the other for the purpose of making investment decisions. This is the general dilemma of international comparisons, and a principal reason why accounting harmonization is so important. </w:t>
      </w:r>
      <w:r w:rsidR="00400362">
        <w:rPr>
          <w:rFonts w:cs="Arial"/>
        </w:rPr>
        <w:t>[</w:t>
      </w:r>
      <w:r w:rsidR="00237B5F">
        <w:rPr>
          <w:rFonts w:cs="Arial"/>
        </w:rPr>
        <w:t xml:space="preserve">IFRS: </w:t>
      </w:r>
      <w:hyperlink r:id="rId11" w:history="1">
        <w:r w:rsidR="00400362" w:rsidRPr="008620BB">
          <w:rPr>
            <w:rStyle w:val="Hyperlink"/>
            <w:rFonts w:cs="Arial"/>
            <w:color w:val="000000" w:themeColor="text1"/>
            <w:szCs w:val="22"/>
            <w:shd w:val="clear" w:color="auto" w:fill="FFFFFF"/>
          </w:rPr>
          <w:t>The conceptual framework for financial reporting</w:t>
        </w:r>
      </w:hyperlink>
      <w:r w:rsidR="00400362" w:rsidRPr="008620BB">
        <w:rPr>
          <w:color w:val="000000" w:themeColor="text1"/>
          <w:szCs w:val="22"/>
        </w:rPr>
        <w:t xml:space="preserve">: chapter </w:t>
      </w:r>
      <w:r w:rsidR="00400362">
        <w:rPr>
          <w:szCs w:val="22"/>
        </w:rPr>
        <w:t>3</w:t>
      </w:r>
      <w:r w:rsidR="00400362" w:rsidRPr="003D2EEB">
        <w:rPr>
          <w:szCs w:val="22"/>
        </w:rPr>
        <w:t>]</w:t>
      </w:r>
    </w:p>
    <w:p w14:paraId="5E441BA4" w14:textId="77777777" w:rsidR="00931CCC" w:rsidRDefault="00931CCC">
      <w:pPr>
        <w:spacing w:line="360" w:lineRule="auto"/>
        <w:rPr>
          <w:rFonts w:cs="Arial"/>
          <w:b/>
          <w:bCs/>
          <w:sz w:val="28"/>
          <w:szCs w:val="28"/>
        </w:rPr>
      </w:pPr>
    </w:p>
    <w:p w14:paraId="5E441BA5" w14:textId="77777777" w:rsidR="00931CCC" w:rsidRDefault="00931CCC">
      <w:pPr>
        <w:spacing w:line="360" w:lineRule="auto"/>
        <w:rPr>
          <w:rFonts w:cs="Arial"/>
          <w:b/>
          <w:bCs/>
          <w:sz w:val="28"/>
        </w:rPr>
      </w:pPr>
      <w:r>
        <w:rPr>
          <w:rFonts w:cs="Arial"/>
          <w:b/>
          <w:bCs/>
          <w:sz w:val="28"/>
        </w:rPr>
        <w:t>CASE 1-4</w:t>
      </w:r>
    </w:p>
    <w:p w14:paraId="5E441BA6" w14:textId="77777777" w:rsidR="00931CCC" w:rsidRDefault="00931CCC">
      <w:pPr>
        <w:pStyle w:val="Header"/>
        <w:tabs>
          <w:tab w:val="clear" w:pos="4320"/>
          <w:tab w:val="clear" w:pos="8640"/>
        </w:tabs>
        <w:spacing w:line="360" w:lineRule="auto"/>
        <w:rPr>
          <w:rFonts w:cs="Arial"/>
          <w:sz w:val="28"/>
          <w:szCs w:val="22"/>
        </w:rPr>
      </w:pPr>
      <w:r>
        <w:rPr>
          <w:rFonts w:cs="Arial"/>
          <w:sz w:val="28"/>
          <w:szCs w:val="22"/>
        </w:rPr>
        <w:t>Memorandum</w:t>
      </w:r>
    </w:p>
    <w:p w14:paraId="5E441BA7" w14:textId="77777777" w:rsidR="00931CCC" w:rsidRDefault="00931CCC">
      <w:pPr>
        <w:pStyle w:val="Header"/>
        <w:tabs>
          <w:tab w:val="clear" w:pos="4320"/>
          <w:tab w:val="clear" w:pos="8640"/>
        </w:tabs>
        <w:spacing w:line="360" w:lineRule="auto"/>
        <w:rPr>
          <w:rFonts w:cs="Arial"/>
          <w:szCs w:val="22"/>
        </w:rPr>
      </w:pPr>
      <w:r>
        <w:rPr>
          <w:rFonts w:cs="Arial"/>
          <w:b/>
          <w:bCs/>
          <w:szCs w:val="22"/>
        </w:rPr>
        <w:lastRenderedPageBreak/>
        <w:t>To:</w:t>
      </w:r>
      <w:r>
        <w:rPr>
          <w:rFonts w:cs="Arial"/>
          <w:szCs w:val="22"/>
        </w:rPr>
        <w:t xml:space="preserve"> </w:t>
      </w:r>
      <w:r>
        <w:rPr>
          <w:rFonts w:cs="Arial"/>
          <w:szCs w:val="22"/>
        </w:rPr>
        <w:tab/>
        <w:t xml:space="preserve">Partner </w:t>
      </w:r>
    </w:p>
    <w:p w14:paraId="5E441BA8" w14:textId="77777777" w:rsidR="00931CCC" w:rsidRDefault="00931CCC">
      <w:pPr>
        <w:pStyle w:val="Header"/>
        <w:tabs>
          <w:tab w:val="clear" w:pos="4320"/>
          <w:tab w:val="clear" w:pos="8640"/>
        </w:tabs>
        <w:spacing w:line="360" w:lineRule="auto"/>
        <w:rPr>
          <w:rFonts w:cs="Arial"/>
          <w:szCs w:val="22"/>
        </w:rPr>
      </w:pPr>
      <w:r>
        <w:rPr>
          <w:rFonts w:cs="Arial"/>
          <w:b/>
          <w:bCs/>
          <w:szCs w:val="22"/>
        </w:rPr>
        <w:t xml:space="preserve">From: </w:t>
      </w:r>
      <w:r>
        <w:rPr>
          <w:rFonts w:cs="Arial"/>
          <w:b/>
          <w:bCs/>
          <w:szCs w:val="22"/>
        </w:rPr>
        <w:tab/>
      </w:r>
      <w:r w:rsidR="008121FA">
        <w:rPr>
          <w:rFonts w:cs="Arial"/>
          <w:szCs w:val="22"/>
        </w:rPr>
        <w:t>CPA</w:t>
      </w:r>
    </w:p>
    <w:p w14:paraId="5E441BA9" w14:textId="77777777" w:rsidR="00931CCC" w:rsidRDefault="00931CCC">
      <w:pPr>
        <w:pStyle w:val="Header"/>
        <w:tabs>
          <w:tab w:val="clear" w:pos="4320"/>
          <w:tab w:val="clear" w:pos="8640"/>
        </w:tabs>
        <w:spacing w:line="360" w:lineRule="auto"/>
        <w:rPr>
          <w:rFonts w:cs="Arial"/>
          <w:szCs w:val="22"/>
        </w:rPr>
      </w:pPr>
      <w:r>
        <w:rPr>
          <w:rFonts w:cs="Arial"/>
          <w:b/>
          <w:bCs/>
          <w:szCs w:val="22"/>
        </w:rPr>
        <w:t>Re:</w:t>
      </w:r>
      <w:r>
        <w:rPr>
          <w:rFonts w:cs="Arial"/>
          <w:szCs w:val="22"/>
        </w:rPr>
        <w:t xml:space="preserve"> </w:t>
      </w:r>
      <w:r>
        <w:rPr>
          <w:rFonts w:cs="Arial"/>
          <w:szCs w:val="22"/>
        </w:rPr>
        <w:tab/>
        <w:t xml:space="preserve">Roman Systems Inc. </w:t>
      </w:r>
      <w:r w:rsidR="0008179D">
        <w:rPr>
          <w:rFonts w:cs="Arial"/>
          <w:szCs w:val="22"/>
        </w:rPr>
        <w:t xml:space="preserve">Financial Reporting </w:t>
      </w:r>
      <w:r>
        <w:rPr>
          <w:rFonts w:cs="Arial"/>
          <w:szCs w:val="22"/>
        </w:rPr>
        <w:t xml:space="preserve">Issues </w:t>
      </w:r>
    </w:p>
    <w:p w14:paraId="5E441BAA" w14:textId="77777777" w:rsidR="00931CCC" w:rsidRDefault="00931CCC">
      <w:pPr>
        <w:pStyle w:val="Header"/>
        <w:tabs>
          <w:tab w:val="clear" w:pos="4320"/>
          <w:tab w:val="clear" w:pos="8640"/>
        </w:tabs>
        <w:rPr>
          <w:rFonts w:cs="Arial"/>
        </w:rPr>
      </w:pPr>
    </w:p>
    <w:p w14:paraId="5E441BAB" w14:textId="77777777" w:rsidR="00931CCC" w:rsidRDefault="00931CCC">
      <w:pPr>
        <w:pStyle w:val="Header"/>
        <w:tabs>
          <w:tab w:val="clear" w:pos="4320"/>
          <w:tab w:val="clear" w:pos="8640"/>
        </w:tabs>
        <w:spacing w:line="360" w:lineRule="auto"/>
        <w:rPr>
          <w:rFonts w:cs="Arial"/>
        </w:rPr>
      </w:pPr>
      <w:r>
        <w:rPr>
          <w:rFonts w:cs="Arial"/>
        </w:rPr>
        <w:t xml:space="preserve">Roman Systems Inc. (RSI) </w:t>
      </w:r>
      <w:r w:rsidR="00B779FD">
        <w:rPr>
          <w:rFonts w:cs="Arial"/>
        </w:rPr>
        <w:t xml:space="preserve">has been using </w:t>
      </w:r>
      <w:r w:rsidR="007F2533">
        <w:rPr>
          <w:rFonts w:cs="Arial"/>
        </w:rPr>
        <w:t>IFRS</w:t>
      </w:r>
      <w:r w:rsidR="00B779FD">
        <w:rPr>
          <w:rFonts w:cs="Arial"/>
        </w:rPr>
        <w:t xml:space="preserve"> over the past few years presumably because it </w:t>
      </w:r>
      <w:r>
        <w:rPr>
          <w:rFonts w:cs="Arial"/>
        </w:rPr>
        <w:t>plans to go public within the next year</w:t>
      </w:r>
      <w:r w:rsidR="00B779FD">
        <w:rPr>
          <w:rFonts w:cs="Arial"/>
        </w:rPr>
        <w:t xml:space="preserve">. </w:t>
      </w:r>
      <w:r>
        <w:rPr>
          <w:rFonts w:cs="Arial"/>
        </w:rPr>
        <w:t xml:space="preserve">RSI’s bias is to maximize revenue, net income and shareholder’s equity in order to attract potential investors. </w:t>
      </w:r>
    </w:p>
    <w:p w14:paraId="5E441BAC" w14:textId="77777777" w:rsidR="00931CCC" w:rsidRDefault="00931CCC">
      <w:pPr>
        <w:pStyle w:val="Header"/>
        <w:tabs>
          <w:tab w:val="clear" w:pos="4320"/>
          <w:tab w:val="clear" w:pos="8640"/>
        </w:tabs>
        <w:spacing w:line="360" w:lineRule="auto"/>
        <w:rPr>
          <w:rFonts w:cs="Arial"/>
        </w:rPr>
      </w:pPr>
    </w:p>
    <w:p w14:paraId="5E441BAD" w14:textId="77777777" w:rsidR="00931CCC" w:rsidRDefault="00931CCC">
      <w:pPr>
        <w:pStyle w:val="Header"/>
        <w:tabs>
          <w:tab w:val="clear" w:pos="4320"/>
          <w:tab w:val="clear" w:pos="8640"/>
        </w:tabs>
        <w:spacing w:line="360" w:lineRule="auto"/>
        <w:rPr>
          <w:rFonts w:cs="Arial"/>
        </w:rPr>
      </w:pPr>
      <w:r>
        <w:rPr>
          <w:rFonts w:cs="Arial"/>
        </w:rPr>
        <w:t>The major financial reporting issues arising from our interim work are:</w:t>
      </w:r>
    </w:p>
    <w:p w14:paraId="5E441BAE" w14:textId="77777777" w:rsidR="00931CCC" w:rsidRDefault="00931CCC">
      <w:pPr>
        <w:pStyle w:val="Header"/>
        <w:tabs>
          <w:tab w:val="clear" w:pos="4320"/>
          <w:tab w:val="clear" w:pos="8640"/>
        </w:tabs>
        <w:spacing w:line="360" w:lineRule="auto"/>
        <w:rPr>
          <w:rFonts w:cs="Arial"/>
        </w:rPr>
      </w:pPr>
    </w:p>
    <w:p w14:paraId="5E441BAF" w14:textId="77777777" w:rsidR="00931CCC" w:rsidRDefault="00931CCC">
      <w:pPr>
        <w:pStyle w:val="Header"/>
        <w:numPr>
          <w:ilvl w:val="0"/>
          <w:numId w:val="17"/>
        </w:numPr>
        <w:tabs>
          <w:tab w:val="clear" w:pos="4320"/>
          <w:tab w:val="clear" w:pos="8640"/>
        </w:tabs>
        <w:spacing w:line="360" w:lineRule="auto"/>
        <w:rPr>
          <w:rFonts w:cs="Arial"/>
        </w:rPr>
      </w:pPr>
      <w:r>
        <w:rPr>
          <w:rFonts w:cs="Arial"/>
        </w:rPr>
        <w:t>Accounting for the costs of the new accounting system</w:t>
      </w:r>
    </w:p>
    <w:p w14:paraId="5E441BB0" w14:textId="77777777" w:rsidR="00931CCC" w:rsidRDefault="00931CCC">
      <w:pPr>
        <w:pStyle w:val="Header"/>
        <w:numPr>
          <w:ilvl w:val="0"/>
          <w:numId w:val="17"/>
        </w:numPr>
        <w:tabs>
          <w:tab w:val="clear" w:pos="4320"/>
          <w:tab w:val="clear" w:pos="8640"/>
        </w:tabs>
        <w:spacing w:line="360" w:lineRule="auto"/>
        <w:rPr>
          <w:rFonts w:cs="Arial"/>
        </w:rPr>
      </w:pPr>
      <w:r>
        <w:rPr>
          <w:rFonts w:cs="Arial"/>
        </w:rPr>
        <w:t>Revenue recognition</w:t>
      </w:r>
    </w:p>
    <w:p w14:paraId="5E441BB1" w14:textId="77777777" w:rsidR="00931CCC" w:rsidRDefault="00931CCC">
      <w:pPr>
        <w:pStyle w:val="Header"/>
        <w:numPr>
          <w:ilvl w:val="1"/>
          <w:numId w:val="17"/>
        </w:numPr>
        <w:tabs>
          <w:tab w:val="clear" w:pos="4320"/>
          <w:tab w:val="clear" w:pos="8640"/>
        </w:tabs>
        <w:spacing w:line="360" w:lineRule="auto"/>
        <w:rPr>
          <w:rFonts w:cs="Arial"/>
        </w:rPr>
      </w:pPr>
      <w:r>
        <w:rPr>
          <w:rFonts w:cs="Arial"/>
        </w:rPr>
        <w:t>Maintenance and contract revenue</w:t>
      </w:r>
    </w:p>
    <w:p w14:paraId="5E441BB2" w14:textId="77777777" w:rsidR="00931CCC" w:rsidRDefault="00931CCC">
      <w:pPr>
        <w:pStyle w:val="Header"/>
        <w:numPr>
          <w:ilvl w:val="1"/>
          <w:numId w:val="17"/>
        </w:numPr>
        <w:tabs>
          <w:tab w:val="clear" w:pos="4320"/>
          <w:tab w:val="clear" w:pos="8640"/>
        </w:tabs>
        <w:spacing w:line="360" w:lineRule="auto"/>
        <w:rPr>
          <w:rFonts w:cs="Arial"/>
        </w:rPr>
      </w:pPr>
      <w:r>
        <w:rPr>
          <w:rFonts w:cs="Arial"/>
        </w:rPr>
        <w:t>Product revenue</w:t>
      </w:r>
    </w:p>
    <w:p w14:paraId="5E441BB3" w14:textId="77777777" w:rsidR="00931CCC" w:rsidRDefault="00931CCC">
      <w:pPr>
        <w:pStyle w:val="Header"/>
        <w:numPr>
          <w:ilvl w:val="1"/>
          <w:numId w:val="17"/>
        </w:numPr>
        <w:tabs>
          <w:tab w:val="clear" w:pos="4320"/>
          <w:tab w:val="clear" w:pos="8640"/>
        </w:tabs>
        <w:spacing w:line="360" w:lineRule="auto"/>
        <w:rPr>
          <w:rFonts w:cs="Arial"/>
        </w:rPr>
      </w:pPr>
      <w:r>
        <w:rPr>
          <w:rFonts w:cs="Arial"/>
        </w:rPr>
        <w:t>ABM revenue</w:t>
      </w:r>
    </w:p>
    <w:p w14:paraId="5E441BB4" w14:textId="77777777" w:rsidR="00931CCC" w:rsidRDefault="00931CCC">
      <w:pPr>
        <w:pStyle w:val="Header"/>
        <w:numPr>
          <w:ilvl w:val="0"/>
          <w:numId w:val="17"/>
        </w:numPr>
        <w:tabs>
          <w:tab w:val="clear" w:pos="4320"/>
          <w:tab w:val="clear" w:pos="8640"/>
        </w:tabs>
        <w:spacing w:line="360" w:lineRule="auto"/>
        <w:rPr>
          <w:rFonts w:cs="Arial"/>
        </w:rPr>
      </w:pPr>
      <w:r>
        <w:rPr>
          <w:rFonts w:cs="Arial"/>
        </w:rPr>
        <w:t>Convertible debentures</w:t>
      </w:r>
    </w:p>
    <w:p w14:paraId="5E441BB5" w14:textId="77777777" w:rsidR="00931CCC" w:rsidRDefault="00931CCC">
      <w:pPr>
        <w:pStyle w:val="Header"/>
        <w:numPr>
          <w:ilvl w:val="0"/>
          <w:numId w:val="17"/>
        </w:numPr>
        <w:tabs>
          <w:tab w:val="clear" w:pos="4320"/>
          <w:tab w:val="clear" w:pos="8640"/>
        </w:tabs>
        <w:spacing w:line="360" w:lineRule="auto"/>
        <w:rPr>
          <w:rFonts w:cs="Arial"/>
        </w:rPr>
      </w:pPr>
      <w:r>
        <w:rPr>
          <w:rFonts w:cs="Arial"/>
        </w:rPr>
        <w:t>Receivable from Mountain Bank</w:t>
      </w:r>
    </w:p>
    <w:p w14:paraId="5E441BB6" w14:textId="77777777" w:rsidR="00931CCC" w:rsidRDefault="00931CCC">
      <w:pPr>
        <w:pStyle w:val="Header"/>
        <w:tabs>
          <w:tab w:val="clear" w:pos="4320"/>
          <w:tab w:val="clear" w:pos="8640"/>
        </w:tabs>
        <w:spacing w:line="360" w:lineRule="auto"/>
        <w:ind w:left="60"/>
        <w:rPr>
          <w:rFonts w:cs="Arial"/>
        </w:rPr>
      </w:pPr>
    </w:p>
    <w:p w14:paraId="5E441BB7" w14:textId="7BE9FAE4" w:rsidR="00931CCC" w:rsidRPr="00625939" w:rsidRDefault="00931CCC">
      <w:pPr>
        <w:pStyle w:val="Header"/>
        <w:tabs>
          <w:tab w:val="clear" w:pos="4320"/>
          <w:tab w:val="clear" w:pos="8640"/>
        </w:tabs>
        <w:spacing w:line="360" w:lineRule="auto"/>
        <w:rPr>
          <w:rFonts w:cs="Arial"/>
          <w:bCs/>
          <w:iCs/>
        </w:rPr>
      </w:pPr>
      <w:r>
        <w:rPr>
          <w:rFonts w:cs="Arial"/>
          <w:b/>
          <w:bCs/>
          <w:i/>
          <w:iCs/>
        </w:rPr>
        <w:t>Accounting for new accounting system costs</w:t>
      </w:r>
      <w:r w:rsidR="00400362">
        <w:rPr>
          <w:rFonts w:cs="Arial"/>
          <w:b/>
          <w:bCs/>
          <w:i/>
          <w:iCs/>
        </w:rPr>
        <w:t xml:space="preserve"> </w:t>
      </w:r>
      <w:r w:rsidR="00400362">
        <w:rPr>
          <w:rFonts w:cs="Arial"/>
          <w:bCs/>
          <w:iCs/>
        </w:rPr>
        <w:t>[IAS 38]</w:t>
      </w:r>
    </w:p>
    <w:p w14:paraId="5E441BB8" w14:textId="77777777" w:rsidR="00931CCC" w:rsidRDefault="00931CCC">
      <w:pPr>
        <w:pStyle w:val="Header"/>
        <w:tabs>
          <w:tab w:val="clear" w:pos="4320"/>
          <w:tab w:val="clear" w:pos="8640"/>
        </w:tabs>
        <w:spacing w:line="360" w:lineRule="auto"/>
        <w:rPr>
          <w:rFonts w:cs="Arial"/>
        </w:rPr>
      </w:pPr>
    </w:p>
    <w:p w14:paraId="5E441BB9" w14:textId="77777777" w:rsidR="00931CCC" w:rsidRDefault="00931CCC">
      <w:pPr>
        <w:pStyle w:val="Header"/>
        <w:tabs>
          <w:tab w:val="clear" w:pos="4320"/>
          <w:tab w:val="clear" w:pos="8640"/>
        </w:tabs>
        <w:spacing w:line="360" w:lineRule="auto"/>
        <w:rPr>
          <w:rFonts w:cs="Arial"/>
        </w:rPr>
      </w:pPr>
      <w:r>
        <w:rPr>
          <w:rFonts w:cs="Arial"/>
        </w:rPr>
        <w:t>During fiscal Year 12, RSI implemented a new general ledger package.  The new package has been functioning in parallel with the old system since April 1, Year 12, and will no longer be used in parallel effective July 1, Year 12.  The new package has been used to generate RSI’s financial results since April.</w:t>
      </w:r>
    </w:p>
    <w:p w14:paraId="5E441BBA" w14:textId="77777777" w:rsidR="00931CCC" w:rsidRDefault="00931CCC">
      <w:pPr>
        <w:pStyle w:val="Header"/>
        <w:tabs>
          <w:tab w:val="clear" w:pos="4320"/>
          <w:tab w:val="clear" w:pos="8640"/>
        </w:tabs>
        <w:spacing w:line="360" w:lineRule="auto"/>
        <w:rPr>
          <w:rFonts w:cs="Arial"/>
        </w:rPr>
      </w:pPr>
    </w:p>
    <w:p w14:paraId="5E441BBB" w14:textId="77777777" w:rsidR="00931CCC" w:rsidRDefault="00931CCC">
      <w:pPr>
        <w:pStyle w:val="Header"/>
        <w:tabs>
          <w:tab w:val="clear" w:pos="4320"/>
          <w:tab w:val="clear" w:pos="8640"/>
        </w:tabs>
        <w:spacing w:line="360" w:lineRule="auto"/>
        <w:rPr>
          <w:rFonts w:cs="Arial"/>
        </w:rPr>
      </w:pPr>
      <w:r>
        <w:rPr>
          <w:rFonts w:cs="Arial"/>
        </w:rPr>
        <w:t>RSI has incurred $720,000 in third-party costs associated with the new general ledger package, together with $70,000 of internal salary costs.  These costs have all been capitalized in Year 12.</w:t>
      </w:r>
    </w:p>
    <w:p w14:paraId="5E441BBC" w14:textId="77777777" w:rsidR="00931CCC" w:rsidRDefault="00931CCC">
      <w:pPr>
        <w:pStyle w:val="Header"/>
        <w:tabs>
          <w:tab w:val="clear" w:pos="4320"/>
          <w:tab w:val="clear" w:pos="8640"/>
        </w:tabs>
        <w:spacing w:line="360" w:lineRule="auto"/>
        <w:rPr>
          <w:rFonts w:cs="Arial"/>
        </w:rPr>
      </w:pPr>
    </w:p>
    <w:p w14:paraId="5E441BBD" w14:textId="77777777" w:rsidR="00931CCC" w:rsidRDefault="00931CCC">
      <w:pPr>
        <w:pStyle w:val="Header"/>
        <w:tabs>
          <w:tab w:val="clear" w:pos="4320"/>
          <w:tab w:val="clear" w:pos="8640"/>
        </w:tabs>
        <w:spacing w:line="360" w:lineRule="auto"/>
        <w:rPr>
          <w:rFonts w:cs="Arial"/>
        </w:rPr>
      </w:pPr>
      <w:r>
        <w:rPr>
          <w:rFonts w:cs="Arial"/>
        </w:rPr>
        <w:t>IAS 38 offers guidance as to the costs that may be capitalized when internally developing intangible assets.  In particular:</w:t>
      </w:r>
    </w:p>
    <w:p w14:paraId="5E441BBE" w14:textId="77777777" w:rsidR="00931CCC" w:rsidRDefault="00931CCC">
      <w:pPr>
        <w:pStyle w:val="Header"/>
        <w:tabs>
          <w:tab w:val="clear" w:pos="4320"/>
          <w:tab w:val="clear" w:pos="8640"/>
        </w:tabs>
        <w:spacing w:line="360" w:lineRule="auto"/>
        <w:rPr>
          <w:rFonts w:cs="Arial"/>
        </w:rPr>
      </w:pPr>
    </w:p>
    <w:p w14:paraId="5E441BBF" w14:textId="77777777" w:rsidR="00931CCC" w:rsidRDefault="00931CCC">
      <w:pPr>
        <w:autoSpaceDE w:val="0"/>
        <w:autoSpaceDN w:val="0"/>
        <w:adjustRightInd w:val="0"/>
        <w:spacing w:line="360" w:lineRule="auto"/>
        <w:rPr>
          <w:rFonts w:cs="Arial"/>
          <w:szCs w:val="17"/>
        </w:rPr>
      </w:pPr>
      <w:r>
        <w:rPr>
          <w:rFonts w:cs="Arial"/>
          <w:szCs w:val="17"/>
        </w:rPr>
        <w:t>The cost of an internally generated intangible asset comprises all directly attributable costs necessary to create, produce, and prepare the asset to be capable of operating in the manner intended by management. Examples of directly attributable costs are:</w:t>
      </w:r>
    </w:p>
    <w:p w14:paraId="5E441BC0" w14:textId="77777777" w:rsidR="00931CCC" w:rsidRDefault="00931CCC">
      <w:pPr>
        <w:autoSpaceDE w:val="0"/>
        <w:autoSpaceDN w:val="0"/>
        <w:adjustRightInd w:val="0"/>
        <w:spacing w:line="360" w:lineRule="auto"/>
        <w:rPr>
          <w:rFonts w:cs="Arial"/>
          <w:szCs w:val="17"/>
        </w:rPr>
      </w:pPr>
    </w:p>
    <w:p w14:paraId="5E441BC1" w14:textId="77777777" w:rsidR="00931CCC" w:rsidRDefault="00931CCC">
      <w:pPr>
        <w:autoSpaceDE w:val="0"/>
        <w:autoSpaceDN w:val="0"/>
        <w:adjustRightInd w:val="0"/>
        <w:spacing w:line="360" w:lineRule="auto"/>
        <w:ind w:left="360" w:hanging="360"/>
        <w:rPr>
          <w:rFonts w:cs="Arial"/>
          <w:szCs w:val="17"/>
        </w:rPr>
      </w:pPr>
      <w:r>
        <w:rPr>
          <w:rFonts w:cs="Arial"/>
          <w:szCs w:val="17"/>
        </w:rPr>
        <w:lastRenderedPageBreak/>
        <w:t xml:space="preserve">(a) costs of materials and services used or consumed in generating the intangible asset; and </w:t>
      </w:r>
    </w:p>
    <w:p w14:paraId="5E441BC2" w14:textId="65E60277" w:rsidR="00931CCC" w:rsidRDefault="00931CCC">
      <w:pPr>
        <w:autoSpaceDE w:val="0"/>
        <w:autoSpaceDN w:val="0"/>
        <w:adjustRightInd w:val="0"/>
        <w:spacing w:line="360" w:lineRule="auto"/>
        <w:ind w:left="360" w:hanging="360"/>
        <w:rPr>
          <w:rFonts w:cs="Arial"/>
          <w:szCs w:val="17"/>
        </w:rPr>
      </w:pPr>
      <w:r>
        <w:rPr>
          <w:rFonts w:cs="Arial"/>
          <w:szCs w:val="17"/>
        </w:rPr>
        <w:t>(b) costs of employee benefits  arising from the generation of the intangible asset;</w:t>
      </w:r>
    </w:p>
    <w:p w14:paraId="5E441BC3" w14:textId="77777777" w:rsidR="00931CCC" w:rsidRDefault="00931CCC">
      <w:pPr>
        <w:autoSpaceDE w:val="0"/>
        <w:autoSpaceDN w:val="0"/>
        <w:adjustRightInd w:val="0"/>
        <w:spacing w:line="360" w:lineRule="auto"/>
        <w:rPr>
          <w:rFonts w:cs="Arial"/>
          <w:szCs w:val="17"/>
        </w:rPr>
      </w:pPr>
    </w:p>
    <w:p w14:paraId="5E441BC4" w14:textId="77777777" w:rsidR="00931CCC" w:rsidRDefault="00931CCC">
      <w:pPr>
        <w:autoSpaceDE w:val="0"/>
        <w:autoSpaceDN w:val="0"/>
        <w:adjustRightInd w:val="0"/>
        <w:spacing w:line="360" w:lineRule="auto"/>
        <w:rPr>
          <w:rFonts w:cs="Arial"/>
          <w:szCs w:val="17"/>
        </w:rPr>
      </w:pPr>
      <w:r>
        <w:rPr>
          <w:rFonts w:cs="Arial"/>
          <w:szCs w:val="17"/>
        </w:rPr>
        <w:t>The following are not components of the cost of an internally generated intangible asset:</w:t>
      </w:r>
    </w:p>
    <w:p w14:paraId="5E441BC5" w14:textId="77777777" w:rsidR="00931CCC" w:rsidRDefault="00931CCC">
      <w:pPr>
        <w:autoSpaceDE w:val="0"/>
        <w:autoSpaceDN w:val="0"/>
        <w:adjustRightInd w:val="0"/>
        <w:spacing w:line="360" w:lineRule="auto"/>
        <w:rPr>
          <w:rFonts w:cs="Arial"/>
          <w:szCs w:val="17"/>
        </w:rPr>
      </w:pPr>
    </w:p>
    <w:p w14:paraId="5E441BC6" w14:textId="77777777" w:rsidR="00931CCC" w:rsidRDefault="00931CCC">
      <w:pPr>
        <w:autoSpaceDE w:val="0"/>
        <w:autoSpaceDN w:val="0"/>
        <w:adjustRightInd w:val="0"/>
        <w:spacing w:line="360" w:lineRule="auto"/>
        <w:ind w:left="360" w:hanging="360"/>
        <w:rPr>
          <w:rFonts w:cs="Arial"/>
          <w:szCs w:val="17"/>
        </w:rPr>
      </w:pPr>
      <w:r>
        <w:rPr>
          <w:rFonts w:cs="Arial"/>
          <w:szCs w:val="17"/>
        </w:rPr>
        <w:t>(a) selling, administrative and other general overhead expenditure unless this expenditure can be directly attributed to preparing the asset for use;</w:t>
      </w:r>
    </w:p>
    <w:p w14:paraId="5E441BC7" w14:textId="77777777" w:rsidR="00931CCC" w:rsidRDefault="00931CCC">
      <w:pPr>
        <w:autoSpaceDE w:val="0"/>
        <w:autoSpaceDN w:val="0"/>
        <w:adjustRightInd w:val="0"/>
        <w:spacing w:line="360" w:lineRule="auto"/>
        <w:ind w:left="360" w:hanging="360"/>
        <w:rPr>
          <w:rFonts w:cs="Arial"/>
          <w:szCs w:val="17"/>
        </w:rPr>
      </w:pPr>
      <w:r>
        <w:rPr>
          <w:rFonts w:cs="Arial"/>
          <w:szCs w:val="17"/>
        </w:rPr>
        <w:t>(b) identified inefficiencies and initial operating losses incurred before the asset achieves planned performance; and</w:t>
      </w:r>
    </w:p>
    <w:p w14:paraId="5E441BC8" w14:textId="77777777" w:rsidR="00931CCC" w:rsidRDefault="00931CCC">
      <w:pPr>
        <w:pStyle w:val="Header"/>
        <w:tabs>
          <w:tab w:val="clear" w:pos="4320"/>
          <w:tab w:val="clear" w:pos="8640"/>
        </w:tabs>
        <w:spacing w:line="360" w:lineRule="auto"/>
        <w:ind w:left="360" w:hanging="360"/>
        <w:rPr>
          <w:rFonts w:cs="Arial"/>
          <w:szCs w:val="17"/>
        </w:rPr>
      </w:pPr>
      <w:r>
        <w:rPr>
          <w:rFonts w:cs="Arial"/>
          <w:szCs w:val="17"/>
        </w:rPr>
        <w:t>(c) expenditures on training staff to operate the asset.</w:t>
      </w:r>
    </w:p>
    <w:p w14:paraId="5E441BC9" w14:textId="77777777" w:rsidR="00931CCC" w:rsidRDefault="00931CCC">
      <w:pPr>
        <w:pStyle w:val="Header"/>
        <w:tabs>
          <w:tab w:val="clear" w:pos="4320"/>
          <w:tab w:val="clear" w:pos="8640"/>
        </w:tabs>
        <w:spacing w:line="360" w:lineRule="auto"/>
        <w:ind w:left="360" w:hanging="360"/>
        <w:rPr>
          <w:rFonts w:cs="Arial"/>
          <w:szCs w:val="17"/>
        </w:rPr>
      </w:pPr>
    </w:p>
    <w:p w14:paraId="5E441BCA" w14:textId="77777777" w:rsidR="00931CCC" w:rsidRDefault="00931CCC">
      <w:pPr>
        <w:pStyle w:val="Header"/>
        <w:tabs>
          <w:tab w:val="clear" w:pos="4320"/>
          <w:tab w:val="clear" w:pos="8640"/>
        </w:tabs>
        <w:spacing w:line="360" w:lineRule="auto"/>
        <w:rPr>
          <w:rFonts w:cs="Arial"/>
        </w:rPr>
      </w:pPr>
      <w:r>
        <w:rPr>
          <w:rFonts w:cs="Arial"/>
          <w:szCs w:val="17"/>
        </w:rPr>
        <w:t>Based on the above:</w:t>
      </w:r>
    </w:p>
    <w:p w14:paraId="5E441BCB" w14:textId="77777777" w:rsidR="00931CCC" w:rsidRDefault="00931CCC">
      <w:pPr>
        <w:pStyle w:val="Header"/>
        <w:tabs>
          <w:tab w:val="clear" w:pos="4320"/>
          <w:tab w:val="clear" w:pos="8640"/>
        </w:tabs>
        <w:spacing w:line="360" w:lineRule="auto"/>
        <w:rPr>
          <w:rFonts w:cs="Arial"/>
        </w:rPr>
      </w:pPr>
    </w:p>
    <w:p w14:paraId="5E441BCC" w14:textId="77777777" w:rsidR="00931CCC" w:rsidRDefault="00931CCC">
      <w:pPr>
        <w:pStyle w:val="Header"/>
        <w:numPr>
          <w:ilvl w:val="0"/>
          <w:numId w:val="18"/>
        </w:numPr>
        <w:tabs>
          <w:tab w:val="clear" w:pos="4320"/>
          <w:tab w:val="clear" w:pos="8640"/>
        </w:tabs>
        <w:spacing w:line="360" w:lineRule="auto"/>
        <w:rPr>
          <w:rFonts w:cs="Arial"/>
        </w:rPr>
      </w:pPr>
      <w:r>
        <w:rPr>
          <w:rFonts w:cs="Arial"/>
        </w:rPr>
        <w:t>Costs of $110,000 related to initial review and recommendations would be considered business process re-engineering activities and not directly related to the creation of the new system.  These costs should be expensed.</w:t>
      </w:r>
    </w:p>
    <w:p w14:paraId="5E441BCD" w14:textId="43F97A4E" w:rsidR="00931CCC" w:rsidRDefault="00931CCC">
      <w:pPr>
        <w:pStyle w:val="Header"/>
        <w:numPr>
          <w:ilvl w:val="0"/>
          <w:numId w:val="18"/>
        </w:numPr>
        <w:tabs>
          <w:tab w:val="clear" w:pos="4320"/>
          <w:tab w:val="clear" w:pos="8640"/>
        </w:tabs>
        <w:spacing w:line="360" w:lineRule="auto"/>
        <w:rPr>
          <w:rFonts w:cs="Arial"/>
        </w:rPr>
      </w:pPr>
      <w:r>
        <w:rPr>
          <w:rFonts w:cs="Arial"/>
        </w:rPr>
        <w:t>Costs of $2</w:t>
      </w:r>
      <w:r w:rsidR="000029BA">
        <w:rPr>
          <w:rFonts w:cs="Arial"/>
        </w:rPr>
        <w:t>7</w:t>
      </w:r>
      <w:r>
        <w:rPr>
          <w:rFonts w:cs="Arial"/>
        </w:rPr>
        <w:t xml:space="preserve">0,000 for new software and implementation costs represent a betterment, as they extend the life of the accounting system and enhance the service capacity.  They should be capitalized.  </w:t>
      </w:r>
    </w:p>
    <w:p w14:paraId="5E441BCE" w14:textId="54D5CB77" w:rsidR="00931CCC" w:rsidRDefault="00931CCC">
      <w:pPr>
        <w:pStyle w:val="Header"/>
        <w:numPr>
          <w:ilvl w:val="0"/>
          <w:numId w:val="18"/>
        </w:numPr>
        <w:tabs>
          <w:tab w:val="clear" w:pos="4320"/>
          <w:tab w:val="clear" w:pos="8640"/>
        </w:tabs>
        <w:spacing w:line="360" w:lineRule="auto"/>
        <w:rPr>
          <w:rFonts w:cs="Arial"/>
        </w:rPr>
      </w:pPr>
      <w:r>
        <w:rPr>
          <w:rFonts w:cs="Arial"/>
        </w:rPr>
        <w:t>Training costs of $2</w:t>
      </w:r>
      <w:r w:rsidR="000029BA">
        <w:rPr>
          <w:rFonts w:cs="Arial"/>
        </w:rPr>
        <w:t>7</w:t>
      </w:r>
      <w:r>
        <w:rPr>
          <w:rFonts w:cs="Arial"/>
        </w:rPr>
        <w:t>5,000 should be expensed, as the costs are not directly attributable to the development, betterment, or acquisition of the software.</w:t>
      </w:r>
    </w:p>
    <w:p w14:paraId="5E441BCF" w14:textId="77777777" w:rsidR="00931CCC" w:rsidRDefault="00931CCC">
      <w:pPr>
        <w:pStyle w:val="Header"/>
        <w:numPr>
          <w:ilvl w:val="0"/>
          <w:numId w:val="18"/>
        </w:numPr>
        <w:tabs>
          <w:tab w:val="clear" w:pos="4320"/>
          <w:tab w:val="clear" w:pos="8640"/>
        </w:tabs>
        <w:spacing w:line="360" w:lineRule="auto"/>
        <w:rPr>
          <w:rFonts w:cs="Arial"/>
        </w:rPr>
      </w:pPr>
      <w:r>
        <w:rPr>
          <w:rFonts w:cs="Arial"/>
        </w:rPr>
        <w:t>The monthly support fee of $25,000 (and all future monthly fees) is an operational cost of the system and should be expensed.</w:t>
      </w:r>
    </w:p>
    <w:p w14:paraId="5E441BD0" w14:textId="77777777" w:rsidR="00931CCC" w:rsidRDefault="00931CCC">
      <w:pPr>
        <w:pStyle w:val="Header"/>
        <w:numPr>
          <w:ilvl w:val="0"/>
          <w:numId w:val="18"/>
        </w:numPr>
        <w:tabs>
          <w:tab w:val="clear" w:pos="4320"/>
          <w:tab w:val="clear" w:pos="8640"/>
        </w:tabs>
        <w:spacing w:line="360" w:lineRule="auto"/>
        <w:rPr>
          <w:rFonts w:cs="Arial"/>
        </w:rPr>
      </w:pPr>
      <w:r>
        <w:rPr>
          <w:rFonts w:cs="Arial"/>
        </w:rPr>
        <w:t>The other consulting fees of $40,000 should be reviewed in more detail, but they appear to be part of the ongoing costs of the new system with no specific value added, and should likely be expensed.</w:t>
      </w:r>
    </w:p>
    <w:p w14:paraId="5E441BD1" w14:textId="77777777" w:rsidR="00931CCC" w:rsidRDefault="00931CCC">
      <w:pPr>
        <w:pStyle w:val="Header"/>
        <w:numPr>
          <w:ilvl w:val="0"/>
          <w:numId w:val="18"/>
        </w:numPr>
        <w:tabs>
          <w:tab w:val="clear" w:pos="4320"/>
          <w:tab w:val="clear" w:pos="8640"/>
        </w:tabs>
        <w:spacing w:line="360" w:lineRule="auto"/>
        <w:rPr>
          <w:rFonts w:cs="Arial"/>
        </w:rPr>
      </w:pPr>
      <w:r>
        <w:rPr>
          <w:rFonts w:cs="Arial"/>
        </w:rPr>
        <w:t xml:space="preserve">The salaries of $70,000 could be capitalized if they are directly attributable to the implementation of the new software package.  Since only two additional individuals were hired to handle the work previously done by the four employees, it is questionable whether the four employees were 100% dedicated to the task of implementing the new software.  Only the costs related to the implementation should be capitalized. </w:t>
      </w:r>
    </w:p>
    <w:p w14:paraId="5E441BD2" w14:textId="77777777" w:rsidR="00931CCC" w:rsidRDefault="00931CCC">
      <w:pPr>
        <w:pStyle w:val="Header"/>
        <w:tabs>
          <w:tab w:val="clear" w:pos="4320"/>
          <w:tab w:val="clear" w:pos="8640"/>
        </w:tabs>
        <w:spacing w:line="360" w:lineRule="auto"/>
        <w:rPr>
          <w:rFonts w:cs="Arial"/>
        </w:rPr>
      </w:pPr>
    </w:p>
    <w:p w14:paraId="5E441BD3" w14:textId="77777777" w:rsidR="00931CCC" w:rsidRDefault="00931CCC">
      <w:pPr>
        <w:pStyle w:val="Header"/>
        <w:tabs>
          <w:tab w:val="clear" w:pos="4320"/>
          <w:tab w:val="clear" w:pos="8640"/>
        </w:tabs>
        <w:spacing w:line="360" w:lineRule="auto"/>
        <w:rPr>
          <w:rFonts w:cs="Arial"/>
        </w:rPr>
      </w:pPr>
      <w:r>
        <w:rPr>
          <w:rFonts w:cs="Arial"/>
        </w:rPr>
        <w:t>Effective July 1, RSI should start amortizing the new system and effective June 30, Year 12, it should write off the remaining carrying amount of the old system.</w:t>
      </w:r>
    </w:p>
    <w:p w14:paraId="5E441BD4" w14:textId="77777777" w:rsidR="00931CCC" w:rsidRDefault="00931CCC">
      <w:pPr>
        <w:pStyle w:val="Header"/>
        <w:tabs>
          <w:tab w:val="clear" w:pos="4320"/>
          <w:tab w:val="clear" w:pos="8640"/>
        </w:tabs>
        <w:spacing w:line="360" w:lineRule="auto"/>
        <w:rPr>
          <w:rFonts w:cs="Arial"/>
        </w:rPr>
      </w:pPr>
    </w:p>
    <w:p w14:paraId="5E441BD5" w14:textId="16A16570" w:rsidR="00931CCC" w:rsidRPr="00625939" w:rsidRDefault="00931CCC">
      <w:pPr>
        <w:pStyle w:val="Header"/>
        <w:tabs>
          <w:tab w:val="clear" w:pos="4320"/>
          <w:tab w:val="clear" w:pos="8640"/>
        </w:tabs>
        <w:spacing w:line="360" w:lineRule="auto"/>
        <w:rPr>
          <w:rFonts w:cs="Arial"/>
          <w:bCs/>
        </w:rPr>
      </w:pPr>
      <w:r>
        <w:rPr>
          <w:rFonts w:cs="Arial"/>
          <w:b/>
          <w:bCs/>
        </w:rPr>
        <w:lastRenderedPageBreak/>
        <w:t>Revenue Recognition</w:t>
      </w:r>
      <w:r w:rsidR="00400362">
        <w:rPr>
          <w:rFonts w:cs="Arial"/>
          <w:b/>
          <w:bCs/>
        </w:rPr>
        <w:t xml:space="preserve">  </w:t>
      </w:r>
      <w:r w:rsidR="00400362">
        <w:rPr>
          <w:rFonts w:cs="Arial"/>
          <w:bCs/>
        </w:rPr>
        <w:t>[IFRS 15]</w:t>
      </w:r>
    </w:p>
    <w:p w14:paraId="5E441BD6" w14:textId="77777777" w:rsidR="00931CCC" w:rsidRDefault="00931CCC">
      <w:pPr>
        <w:pStyle w:val="Header"/>
        <w:tabs>
          <w:tab w:val="clear" w:pos="4320"/>
          <w:tab w:val="clear" w:pos="8640"/>
        </w:tabs>
        <w:spacing w:line="360" w:lineRule="auto"/>
        <w:rPr>
          <w:rFonts w:cs="Arial"/>
        </w:rPr>
      </w:pPr>
    </w:p>
    <w:p w14:paraId="5E441BD7" w14:textId="77777777" w:rsidR="00931CCC" w:rsidRDefault="00931CCC">
      <w:pPr>
        <w:pStyle w:val="Header"/>
        <w:tabs>
          <w:tab w:val="clear" w:pos="4320"/>
          <w:tab w:val="clear" w:pos="8640"/>
        </w:tabs>
        <w:spacing w:line="360" w:lineRule="auto"/>
        <w:rPr>
          <w:rFonts w:cs="Arial"/>
          <w:i/>
          <w:iCs/>
        </w:rPr>
      </w:pPr>
      <w:r>
        <w:rPr>
          <w:rFonts w:cs="Arial"/>
          <w:i/>
          <w:iCs/>
        </w:rPr>
        <w:t>Product Revenue</w:t>
      </w:r>
    </w:p>
    <w:p w14:paraId="5E441BD8" w14:textId="77777777" w:rsidR="00931CCC" w:rsidRDefault="00931CCC">
      <w:pPr>
        <w:pStyle w:val="Header"/>
        <w:tabs>
          <w:tab w:val="clear" w:pos="4320"/>
          <w:tab w:val="clear" w:pos="8640"/>
        </w:tabs>
        <w:spacing w:line="360" w:lineRule="auto"/>
        <w:rPr>
          <w:rFonts w:cs="Arial"/>
        </w:rPr>
      </w:pPr>
    </w:p>
    <w:p w14:paraId="5E441BD9" w14:textId="77777777" w:rsidR="00931CCC" w:rsidRDefault="00931CCC">
      <w:pPr>
        <w:pStyle w:val="Header"/>
        <w:tabs>
          <w:tab w:val="clear" w:pos="4320"/>
          <w:tab w:val="clear" w:pos="8640"/>
        </w:tabs>
        <w:spacing w:line="360" w:lineRule="auto"/>
        <w:rPr>
          <w:rFonts w:cs="Arial"/>
        </w:rPr>
      </w:pPr>
      <w:r>
        <w:rPr>
          <w:rFonts w:cs="Arial"/>
        </w:rPr>
        <w:t xml:space="preserve">Product revenue is recognized at the time of delivery and installation.  Customer acceptance is evidenced by customer sign-off once installation is complete.  It is RSI’s standard practice to obtain such evidence of acceptance.  It would therefore be inappropriate to recognize revenue without such evidence of customer acceptance.  </w:t>
      </w:r>
    </w:p>
    <w:p w14:paraId="5E441BDA" w14:textId="77777777" w:rsidR="00931CCC" w:rsidRDefault="00931CCC">
      <w:pPr>
        <w:pStyle w:val="Header"/>
        <w:tabs>
          <w:tab w:val="clear" w:pos="4320"/>
          <w:tab w:val="clear" w:pos="8640"/>
        </w:tabs>
        <w:spacing w:line="360" w:lineRule="auto"/>
        <w:rPr>
          <w:rFonts w:cs="Arial"/>
        </w:rPr>
      </w:pPr>
    </w:p>
    <w:p w14:paraId="5E441BDB" w14:textId="77777777" w:rsidR="00931CCC" w:rsidRDefault="00931CCC">
      <w:pPr>
        <w:pStyle w:val="Header"/>
        <w:tabs>
          <w:tab w:val="clear" w:pos="4320"/>
          <w:tab w:val="clear" w:pos="8640"/>
        </w:tabs>
        <w:spacing w:line="360" w:lineRule="auto"/>
        <w:rPr>
          <w:rFonts w:cs="Arial"/>
        </w:rPr>
      </w:pPr>
      <w:r>
        <w:rPr>
          <w:rFonts w:cs="Arial"/>
        </w:rPr>
        <w:t>In performing the interim work, we determined that revenue of $640,000 was recorded prior to obtaining customer sign-off.  This has not been an issue in the past and may be an isolated case related to new employees who may be unfamiliar with RSI</w:t>
      </w:r>
      <w:r>
        <w:rPr>
          <w:rFonts w:cs="Arial"/>
          <w:lang w:val="en-CA"/>
        </w:rPr>
        <w:t>’</w:t>
      </w:r>
      <w:r>
        <w:rPr>
          <w:rFonts w:cs="Arial"/>
        </w:rPr>
        <w:t>s standard procedures.  We need to ensure that Marge communicated the policy to all staff members and ensure that customer sign-off is obtained for all installations prior to year-end.  Since it is early June, Marge would have a month to ensure that there are no issues at year-end.</w:t>
      </w:r>
    </w:p>
    <w:p w14:paraId="5E441BDC" w14:textId="77777777" w:rsidR="00931CCC" w:rsidRDefault="00931CCC">
      <w:pPr>
        <w:pStyle w:val="Header"/>
        <w:tabs>
          <w:tab w:val="clear" w:pos="4320"/>
          <w:tab w:val="clear" w:pos="8640"/>
        </w:tabs>
        <w:spacing w:line="360" w:lineRule="auto"/>
        <w:rPr>
          <w:rFonts w:cs="Arial"/>
        </w:rPr>
      </w:pPr>
    </w:p>
    <w:p w14:paraId="5E441BDD" w14:textId="77777777" w:rsidR="00931CCC" w:rsidRDefault="00931CCC">
      <w:pPr>
        <w:pStyle w:val="Header"/>
        <w:tabs>
          <w:tab w:val="clear" w:pos="4320"/>
          <w:tab w:val="clear" w:pos="8640"/>
        </w:tabs>
        <w:spacing w:line="360" w:lineRule="auto"/>
        <w:rPr>
          <w:rFonts w:cs="Arial"/>
          <w:i/>
          <w:iCs/>
        </w:rPr>
      </w:pPr>
      <w:r>
        <w:rPr>
          <w:rFonts w:cs="Arial"/>
          <w:i/>
          <w:iCs/>
        </w:rPr>
        <w:t>Maintenance contracts</w:t>
      </w:r>
    </w:p>
    <w:p w14:paraId="5E441BDE" w14:textId="77777777" w:rsidR="00931CCC" w:rsidRDefault="00931CCC">
      <w:pPr>
        <w:pStyle w:val="Header"/>
        <w:tabs>
          <w:tab w:val="clear" w:pos="4320"/>
          <w:tab w:val="clear" w:pos="8640"/>
        </w:tabs>
        <w:spacing w:line="360" w:lineRule="auto"/>
        <w:rPr>
          <w:rFonts w:cs="Arial"/>
        </w:rPr>
      </w:pPr>
    </w:p>
    <w:p w14:paraId="5E441BDF" w14:textId="77777777" w:rsidR="00931CCC" w:rsidRDefault="00931CCC">
      <w:pPr>
        <w:pStyle w:val="Header"/>
        <w:tabs>
          <w:tab w:val="clear" w:pos="4320"/>
          <w:tab w:val="clear" w:pos="8640"/>
        </w:tabs>
        <w:spacing w:line="360" w:lineRule="auto"/>
        <w:rPr>
          <w:rFonts w:cs="Arial"/>
        </w:rPr>
      </w:pPr>
      <w:r>
        <w:rPr>
          <w:rFonts w:cs="Arial"/>
        </w:rPr>
        <w:t xml:space="preserve">During the year, the company changed its revenue recognition policy on maintenance contracts.  Assuming that the company previously recognized maintenance revenue on a straight-line basis over the course of the contract, the new method will recognize a greater proportion of the revenue earlier in the contract life.  This new method recognizes 25% of the revenue in each of the first two months and may not be appropriate.  Maintenance services must be provided over the full life of the contract.  The preventive maintenance is entirely at the discretion of the company.  It may not be continued in the future and may not consistently reduce future service calls.  As well, the study serving as a basis for the policy is two years old, and may no longer be an accurate reflection of the pattern of maintenance calls.  Revenue recognition for service contracts should be based on the service obligation over the term of the contract.  </w:t>
      </w:r>
    </w:p>
    <w:p w14:paraId="5E441BE0" w14:textId="77777777" w:rsidR="00931CCC" w:rsidRDefault="00931CCC">
      <w:pPr>
        <w:pStyle w:val="Header"/>
        <w:tabs>
          <w:tab w:val="clear" w:pos="4320"/>
          <w:tab w:val="clear" w:pos="8640"/>
        </w:tabs>
        <w:spacing w:line="360" w:lineRule="auto"/>
        <w:rPr>
          <w:rFonts w:cs="Arial"/>
        </w:rPr>
      </w:pPr>
    </w:p>
    <w:p w14:paraId="5E441BE1" w14:textId="77777777" w:rsidR="00931CCC" w:rsidRDefault="00931CCC">
      <w:pPr>
        <w:pStyle w:val="Header"/>
        <w:tabs>
          <w:tab w:val="clear" w:pos="4320"/>
          <w:tab w:val="clear" w:pos="8640"/>
        </w:tabs>
        <w:spacing w:line="360" w:lineRule="auto"/>
        <w:rPr>
          <w:rFonts w:cs="Arial"/>
          <w:i/>
          <w:iCs/>
        </w:rPr>
      </w:pPr>
      <w:r>
        <w:rPr>
          <w:rFonts w:cs="Arial"/>
          <w:i/>
          <w:iCs/>
        </w:rPr>
        <w:t>ABM business</w:t>
      </w:r>
    </w:p>
    <w:p w14:paraId="5E441BE2" w14:textId="77777777" w:rsidR="00931CCC" w:rsidRDefault="00931CCC">
      <w:pPr>
        <w:pStyle w:val="Header"/>
        <w:tabs>
          <w:tab w:val="clear" w:pos="4320"/>
          <w:tab w:val="clear" w:pos="8640"/>
        </w:tabs>
        <w:spacing w:line="360" w:lineRule="auto"/>
        <w:rPr>
          <w:rFonts w:cs="Arial"/>
        </w:rPr>
      </w:pPr>
    </w:p>
    <w:p w14:paraId="5E441BE3" w14:textId="77777777" w:rsidR="00931CCC" w:rsidRDefault="00931CCC">
      <w:pPr>
        <w:pStyle w:val="Header"/>
        <w:tabs>
          <w:tab w:val="clear" w:pos="4320"/>
          <w:tab w:val="clear" w:pos="8640"/>
        </w:tabs>
        <w:spacing w:line="360" w:lineRule="auto"/>
        <w:rPr>
          <w:rFonts w:cs="Arial"/>
        </w:rPr>
      </w:pPr>
      <w:r>
        <w:rPr>
          <w:rFonts w:cs="Arial"/>
        </w:rPr>
        <w:t xml:space="preserve">RSI began selling ABMs in fiscal Year 12.  The machines are purchased from an electronic manufacturer and resold at margins of 5%.   It is important to consider whether RSI is recording revenue on a gross or net basis.  </w:t>
      </w:r>
    </w:p>
    <w:p w14:paraId="5E441BE4" w14:textId="77777777" w:rsidR="00931CCC" w:rsidRDefault="00931CCC">
      <w:pPr>
        <w:pStyle w:val="Header"/>
        <w:tabs>
          <w:tab w:val="clear" w:pos="4320"/>
          <w:tab w:val="clear" w:pos="8640"/>
        </w:tabs>
        <w:spacing w:line="360" w:lineRule="auto"/>
        <w:rPr>
          <w:rFonts w:cs="Arial"/>
        </w:rPr>
      </w:pPr>
    </w:p>
    <w:p w14:paraId="5E441BE5" w14:textId="77777777" w:rsidR="00931CCC" w:rsidRDefault="00931CCC">
      <w:pPr>
        <w:pStyle w:val="Header"/>
        <w:tabs>
          <w:tab w:val="clear" w:pos="4320"/>
          <w:tab w:val="clear" w:pos="8640"/>
        </w:tabs>
        <w:spacing w:line="360" w:lineRule="auto"/>
        <w:rPr>
          <w:rFonts w:cs="Arial"/>
        </w:rPr>
      </w:pPr>
      <w:r>
        <w:rPr>
          <w:rFonts w:cs="Arial"/>
        </w:rPr>
        <w:lastRenderedPageBreak/>
        <w:t>Recognizing revenue on a gross basis is appropriate if RSI bears the risk of selling the product.  Recognizing revenue on a net basis is more appropriate if RSI is simply fulfilling orders obtained by the manufacturer, for a fee.  It is important to better understand the relationship between RSI, the manufacturer, and the end-party customer in order to recommend an appropriate revenue recognition policy.</w:t>
      </w:r>
    </w:p>
    <w:p w14:paraId="5E441BE6" w14:textId="77777777" w:rsidR="00931CCC" w:rsidRDefault="00931CCC">
      <w:pPr>
        <w:pStyle w:val="Header"/>
        <w:tabs>
          <w:tab w:val="clear" w:pos="4320"/>
          <w:tab w:val="clear" w:pos="8640"/>
        </w:tabs>
        <w:spacing w:line="360" w:lineRule="auto"/>
        <w:rPr>
          <w:rFonts w:cs="Arial"/>
        </w:rPr>
      </w:pPr>
    </w:p>
    <w:p w14:paraId="5E441BE7" w14:textId="77777777" w:rsidR="00931CCC" w:rsidRDefault="00931CCC">
      <w:pPr>
        <w:pStyle w:val="Header"/>
        <w:tabs>
          <w:tab w:val="clear" w:pos="4320"/>
          <w:tab w:val="clear" w:pos="8640"/>
        </w:tabs>
        <w:spacing w:line="360" w:lineRule="auto"/>
        <w:rPr>
          <w:rFonts w:cs="Arial"/>
          <w:i/>
          <w:iCs/>
        </w:rPr>
      </w:pPr>
      <w:r>
        <w:rPr>
          <w:rFonts w:cs="Arial"/>
          <w:i/>
          <w:iCs/>
        </w:rPr>
        <w:t>Transaction fee revenue</w:t>
      </w:r>
    </w:p>
    <w:p w14:paraId="5E441BE8" w14:textId="77777777" w:rsidR="00931CCC" w:rsidRDefault="00931CCC">
      <w:pPr>
        <w:pStyle w:val="Header"/>
        <w:tabs>
          <w:tab w:val="clear" w:pos="4320"/>
          <w:tab w:val="clear" w:pos="8640"/>
        </w:tabs>
        <w:spacing w:line="360" w:lineRule="auto"/>
        <w:rPr>
          <w:rFonts w:cs="Arial"/>
        </w:rPr>
      </w:pPr>
    </w:p>
    <w:p w14:paraId="5E441BE9" w14:textId="6C886796" w:rsidR="00931CCC" w:rsidRDefault="00931CCC">
      <w:pPr>
        <w:pStyle w:val="Header"/>
        <w:tabs>
          <w:tab w:val="clear" w:pos="4320"/>
          <w:tab w:val="clear" w:pos="8640"/>
        </w:tabs>
        <w:spacing w:line="360" w:lineRule="auto"/>
        <w:rPr>
          <w:rFonts w:cs="Arial"/>
        </w:rPr>
      </w:pPr>
      <w:r>
        <w:rPr>
          <w:rFonts w:cs="Arial"/>
        </w:rPr>
        <w:t xml:space="preserve">The company has begun a new line of business related to transaction fee revenue generated from the sale of ABM machines.  A total of </w:t>
      </w:r>
      <w:r w:rsidR="000029BA">
        <w:rPr>
          <w:rFonts w:cs="Arial"/>
        </w:rPr>
        <w:t>3,2</w:t>
      </w:r>
      <w:r>
        <w:rPr>
          <w:rFonts w:cs="Arial"/>
        </w:rPr>
        <w:t>30,000 ABM transactions were processed at a fee of $1.50 per transaction, for a total of $4,</w:t>
      </w:r>
      <w:r w:rsidR="000029BA">
        <w:rPr>
          <w:rFonts w:cs="Arial"/>
        </w:rPr>
        <w:t>8</w:t>
      </w:r>
      <w:r>
        <w:rPr>
          <w:rFonts w:cs="Arial"/>
        </w:rPr>
        <w:t xml:space="preserve">45,000.  RSI’s share of this fee is 40%.  RSI is currently recording the transaction fee revenue on a gross basis, with an associated expense for the 60% attributable to other parties.  </w:t>
      </w:r>
    </w:p>
    <w:p w14:paraId="5E441BEA" w14:textId="77777777" w:rsidR="00931CCC" w:rsidRDefault="00931CCC">
      <w:pPr>
        <w:pStyle w:val="Header"/>
        <w:tabs>
          <w:tab w:val="clear" w:pos="4320"/>
          <w:tab w:val="clear" w:pos="8640"/>
        </w:tabs>
        <w:spacing w:line="360" w:lineRule="auto"/>
        <w:rPr>
          <w:rFonts w:cs="Arial"/>
        </w:rPr>
      </w:pPr>
    </w:p>
    <w:p w14:paraId="5E441BEB" w14:textId="77777777" w:rsidR="00931CCC" w:rsidRDefault="00931CCC">
      <w:pPr>
        <w:pStyle w:val="Header"/>
        <w:tabs>
          <w:tab w:val="clear" w:pos="4320"/>
          <w:tab w:val="clear" w:pos="8640"/>
        </w:tabs>
        <w:spacing w:line="360" w:lineRule="auto"/>
        <w:rPr>
          <w:rFonts w:cs="Arial"/>
        </w:rPr>
      </w:pPr>
      <w:r>
        <w:rPr>
          <w:rFonts w:cs="Arial"/>
        </w:rPr>
        <w:t>The following factors suggest that the ABM transaction fee revenue should be recorded on a net basis:</w:t>
      </w:r>
    </w:p>
    <w:p w14:paraId="5E441BEC" w14:textId="77777777" w:rsidR="00931CCC" w:rsidRDefault="00931CCC">
      <w:pPr>
        <w:pStyle w:val="Header"/>
        <w:numPr>
          <w:ilvl w:val="0"/>
          <w:numId w:val="19"/>
        </w:numPr>
        <w:tabs>
          <w:tab w:val="clear" w:pos="4320"/>
          <w:tab w:val="clear" w:pos="8640"/>
        </w:tabs>
        <w:spacing w:line="360" w:lineRule="auto"/>
        <w:rPr>
          <w:rFonts w:cs="Arial"/>
        </w:rPr>
      </w:pPr>
      <w:r>
        <w:rPr>
          <w:rFonts w:cs="Arial"/>
        </w:rPr>
        <w:t>RSI has no ownership of the ABM machines;</w:t>
      </w:r>
    </w:p>
    <w:p w14:paraId="5E441BED" w14:textId="77777777" w:rsidR="00931CCC" w:rsidRDefault="00931CCC">
      <w:pPr>
        <w:pStyle w:val="Header"/>
        <w:numPr>
          <w:ilvl w:val="0"/>
          <w:numId w:val="19"/>
        </w:numPr>
        <w:tabs>
          <w:tab w:val="clear" w:pos="4320"/>
          <w:tab w:val="clear" w:pos="8640"/>
        </w:tabs>
        <w:spacing w:line="360" w:lineRule="auto"/>
        <w:rPr>
          <w:rFonts w:cs="Arial"/>
        </w:rPr>
      </w:pPr>
      <w:r>
        <w:rPr>
          <w:rFonts w:cs="Arial"/>
        </w:rPr>
        <w:t>RSI has no responsibility for stocking or emptying the machines;</w:t>
      </w:r>
    </w:p>
    <w:p w14:paraId="5E441BEE" w14:textId="77777777" w:rsidR="00931CCC" w:rsidRDefault="00931CCC">
      <w:pPr>
        <w:pStyle w:val="Header"/>
        <w:numPr>
          <w:ilvl w:val="0"/>
          <w:numId w:val="19"/>
        </w:numPr>
        <w:tabs>
          <w:tab w:val="clear" w:pos="4320"/>
          <w:tab w:val="clear" w:pos="8640"/>
        </w:tabs>
        <w:spacing w:line="360" w:lineRule="auto"/>
        <w:rPr>
          <w:rFonts w:cs="Arial"/>
        </w:rPr>
      </w:pPr>
      <w:r>
        <w:rPr>
          <w:rFonts w:cs="Arial"/>
        </w:rPr>
        <w:t>RSI has no responsibility for cash collection;</w:t>
      </w:r>
    </w:p>
    <w:p w14:paraId="5E441BEF" w14:textId="77777777" w:rsidR="00931CCC" w:rsidRDefault="00931CCC">
      <w:pPr>
        <w:pStyle w:val="Header"/>
        <w:numPr>
          <w:ilvl w:val="0"/>
          <w:numId w:val="19"/>
        </w:numPr>
        <w:tabs>
          <w:tab w:val="clear" w:pos="4320"/>
          <w:tab w:val="clear" w:pos="8640"/>
        </w:tabs>
        <w:spacing w:line="360" w:lineRule="auto"/>
        <w:rPr>
          <w:rFonts w:cs="Arial"/>
        </w:rPr>
      </w:pPr>
      <w:r>
        <w:rPr>
          <w:rFonts w:cs="Arial"/>
        </w:rPr>
        <w:t>RSI is being paid on a net basis;</w:t>
      </w:r>
    </w:p>
    <w:p w14:paraId="5E441BF0" w14:textId="77777777" w:rsidR="00931CCC" w:rsidRDefault="00931CCC">
      <w:pPr>
        <w:pStyle w:val="Header"/>
        <w:numPr>
          <w:ilvl w:val="0"/>
          <w:numId w:val="19"/>
        </w:numPr>
        <w:tabs>
          <w:tab w:val="clear" w:pos="4320"/>
          <w:tab w:val="clear" w:pos="8640"/>
        </w:tabs>
        <w:spacing w:line="360" w:lineRule="auto"/>
        <w:rPr>
          <w:rFonts w:cs="Arial"/>
        </w:rPr>
      </w:pPr>
      <w:r>
        <w:rPr>
          <w:rFonts w:cs="Arial"/>
        </w:rPr>
        <w:t xml:space="preserve">RSI does not have responsibility for maintenance of the ABMs, and </w:t>
      </w:r>
    </w:p>
    <w:p w14:paraId="5E441BF1" w14:textId="77777777" w:rsidR="00931CCC" w:rsidRDefault="00931CCC">
      <w:pPr>
        <w:pStyle w:val="Header"/>
        <w:numPr>
          <w:ilvl w:val="0"/>
          <w:numId w:val="19"/>
        </w:numPr>
        <w:tabs>
          <w:tab w:val="clear" w:pos="4320"/>
          <w:tab w:val="clear" w:pos="8640"/>
        </w:tabs>
        <w:spacing w:line="360" w:lineRule="auto"/>
        <w:rPr>
          <w:rFonts w:cs="Arial"/>
        </w:rPr>
      </w:pPr>
      <w:r>
        <w:rPr>
          <w:rFonts w:cs="Arial"/>
        </w:rPr>
        <w:t>RSI cannot set the transaction fee amount.</w:t>
      </w:r>
    </w:p>
    <w:p w14:paraId="5E441BF2" w14:textId="77777777" w:rsidR="00931CCC" w:rsidRDefault="00931CCC">
      <w:pPr>
        <w:pStyle w:val="Header"/>
        <w:tabs>
          <w:tab w:val="clear" w:pos="4320"/>
          <w:tab w:val="clear" w:pos="8640"/>
        </w:tabs>
        <w:spacing w:line="360" w:lineRule="auto"/>
        <w:rPr>
          <w:rFonts w:cs="Arial"/>
        </w:rPr>
      </w:pPr>
    </w:p>
    <w:p w14:paraId="5E441BF3" w14:textId="778E6E65" w:rsidR="00931CCC" w:rsidRDefault="00931CCC">
      <w:pPr>
        <w:pStyle w:val="Header"/>
        <w:tabs>
          <w:tab w:val="clear" w:pos="4320"/>
          <w:tab w:val="clear" w:pos="8640"/>
        </w:tabs>
        <w:spacing w:line="360" w:lineRule="auto"/>
        <w:rPr>
          <w:rFonts w:cs="Arial"/>
        </w:rPr>
      </w:pPr>
      <w:r>
        <w:rPr>
          <w:rFonts w:cs="Arial"/>
        </w:rPr>
        <w:t>On this basis, it would be appropriate for the ABM transaction fee revenue to be recorded on a net basis i.e. record revenue of $1,</w:t>
      </w:r>
      <w:r w:rsidR="00563F6C">
        <w:rPr>
          <w:rFonts w:cs="Arial"/>
        </w:rPr>
        <w:t>93</w:t>
      </w:r>
      <w:r>
        <w:rPr>
          <w:rFonts w:cs="Arial"/>
        </w:rPr>
        <w:t xml:space="preserve">8,000 (40% x </w:t>
      </w:r>
      <w:r w:rsidR="00181D67">
        <w:rPr>
          <w:rFonts w:cs="Arial"/>
        </w:rPr>
        <w:t>$</w:t>
      </w:r>
      <w:r>
        <w:rPr>
          <w:rFonts w:cs="Arial"/>
        </w:rPr>
        <w:t>4,</w:t>
      </w:r>
      <w:r w:rsidR="00563F6C">
        <w:rPr>
          <w:rFonts w:cs="Arial"/>
        </w:rPr>
        <w:t>8</w:t>
      </w:r>
      <w:r>
        <w:rPr>
          <w:rFonts w:cs="Arial"/>
        </w:rPr>
        <w:t>45,000) and no expenses. This will reduce revenue and expenses by $2,</w:t>
      </w:r>
      <w:r w:rsidR="00563F6C">
        <w:rPr>
          <w:rFonts w:cs="Arial"/>
        </w:rPr>
        <w:t>90</w:t>
      </w:r>
      <w:r>
        <w:rPr>
          <w:rFonts w:cs="Arial"/>
        </w:rPr>
        <w:t>7,000 but will have no impact of net income or shareholders’ equity.</w:t>
      </w:r>
    </w:p>
    <w:p w14:paraId="5E441BF4" w14:textId="77777777" w:rsidR="00931CCC" w:rsidRDefault="00931CCC">
      <w:pPr>
        <w:pStyle w:val="Header"/>
        <w:tabs>
          <w:tab w:val="clear" w:pos="4320"/>
          <w:tab w:val="clear" w:pos="8640"/>
        </w:tabs>
        <w:spacing w:line="360" w:lineRule="auto"/>
        <w:rPr>
          <w:rFonts w:cs="Arial"/>
        </w:rPr>
      </w:pPr>
    </w:p>
    <w:p w14:paraId="5E441BF5" w14:textId="2514956E" w:rsidR="00931CCC" w:rsidRPr="00625939" w:rsidRDefault="00931CCC">
      <w:pPr>
        <w:pStyle w:val="Header"/>
        <w:tabs>
          <w:tab w:val="clear" w:pos="4320"/>
          <w:tab w:val="clear" w:pos="8640"/>
        </w:tabs>
        <w:spacing w:line="360" w:lineRule="auto"/>
        <w:rPr>
          <w:rFonts w:cs="Arial"/>
          <w:bCs/>
        </w:rPr>
      </w:pPr>
      <w:r>
        <w:rPr>
          <w:rFonts w:cs="Arial"/>
          <w:b/>
          <w:bCs/>
        </w:rPr>
        <w:t>Convertible debentures</w:t>
      </w:r>
      <w:r w:rsidR="00400362">
        <w:rPr>
          <w:rFonts w:cs="Arial"/>
          <w:b/>
          <w:bCs/>
        </w:rPr>
        <w:t xml:space="preserve"> </w:t>
      </w:r>
      <w:r w:rsidR="00400362">
        <w:rPr>
          <w:rFonts w:cs="Arial"/>
          <w:bCs/>
        </w:rPr>
        <w:t>[IAS 32.28]</w:t>
      </w:r>
    </w:p>
    <w:p w14:paraId="5E441BF6" w14:textId="77777777" w:rsidR="00931CCC" w:rsidRDefault="00931CCC">
      <w:pPr>
        <w:pStyle w:val="Header"/>
        <w:tabs>
          <w:tab w:val="clear" w:pos="4320"/>
          <w:tab w:val="clear" w:pos="8640"/>
        </w:tabs>
        <w:spacing w:line="360" w:lineRule="auto"/>
        <w:rPr>
          <w:rFonts w:cs="Arial"/>
        </w:rPr>
      </w:pPr>
    </w:p>
    <w:p w14:paraId="5E441BF7" w14:textId="77777777" w:rsidR="00931CCC" w:rsidRDefault="00931CCC">
      <w:pPr>
        <w:pStyle w:val="Header"/>
        <w:tabs>
          <w:tab w:val="clear" w:pos="4320"/>
          <w:tab w:val="clear" w:pos="8640"/>
        </w:tabs>
        <w:spacing w:line="360" w:lineRule="auto"/>
        <w:rPr>
          <w:rFonts w:cs="Arial"/>
          <w:lang w:val="en-CA"/>
        </w:rPr>
      </w:pPr>
      <w:r>
        <w:rPr>
          <w:rFonts w:cs="Arial"/>
        </w:rPr>
        <w:t xml:space="preserve">The debentures are currently classified as long-term debt.  Since they are convertible into common shares, RSI should consider the reclassification of a portion of the debentures based on the fair value of the conversion feature.  </w:t>
      </w:r>
      <w:r>
        <w:rPr>
          <w:rFonts w:cs="Arial"/>
          <w:lang w:val="en-CA"/>
        </w:rPr>
        <w:t xml:space="preserve">This reclassification will result in higher charges to the income statement through the addition of the debt discount.  The reclassification is currently not required since RSI is not a public company.  Marge Roman should be made aware that if </w:t>
      </w:r>
      <w:r>
        <w:rPr>
          <w:rFonts w:cs="Arial"/>
          <w:lang w:val="en-CA"/>
        </w:rPr>
        <w:lastRenderedPageBreak/>
        <w:t xml:space="preserve">RSI is going public, a detailed analysis should be done related to the split between debt and equity.  The financial statements in an offering document would have to be modified to split the debenture between debt and equity.  The debt is repayable on demand should RSI not go public by June 30, Year 13.  The debt may therefore have to be reclassified as a short-term item in the current financial statements. While there are plans to go public and negotiations have begun (which supports a long-term classification), there is no document such as terms of agreement or a memorandum of understanding providing evidence that this will likely occur.  Also, the ability to issue the IPO is beyond the strict control of the company.  Reclassifying the debentures as short-term appears to be the more appropriate form of presentation.  </w:t>
      </w:r>
    </w:p>
    <w:p w14:paraId="5E441BF8" w14:textId="77777777" w:rsidR="00931CCC" w:rsidRDefault="00931CCC">
      <w:pPr>
        <w:pStyle w:val="sectitle"/>
        <w:spacing w:line="360" w:lineRule="auto"/>
        <w:rPr>
          <w:rFonts w:cs="Arial"/>
          <w:sz w:val="22"/>
        </w:rPr>
      </w:pPr>
    </w:p>
    <w:p w14:paraId="5E441BF9" w14:textId="78789D5E" w:rsidR="00931CCC" w:rsidRDefault="00931CCC">
      <w:pPr>
        <w:pStyle w:val="sectitle"/>
        <w:spacing w:line="360" w:lineRule="auto"/>
        <w:rPr>
          <w:rFonts w:cs="Arial"/>
          <w:sz w:val="22"/>
        </w:rPr>
      </w:pPr>
      <w:r>
        <w:rPr>
          <w:rFonts w:cs="Arial"/>
          <w:sz w:val="22"/>
        </w:rPr>
        <w:t>Receivable from Mountain Bank</w:t>
      </w:r>
      <w:r w:rsidR="00400362">
        <w:rPr>
          <w:rFonts w:cs="Arial"/>
          <w:sz w:val="22"/>
        </w:rPr>
        <w:t xml:space="preserve"> </w:t>
      </w:r>
      <w:r w:rsidR="00464A41">
        <w:rPr>
          <w:rFonts w:cs="Arial"/>
          <w:sz w:val="22"/>
        </w:rPr>
        <w:t xml:space="preserve">[IFRS 15 and </w:t>
      </w:r>
      <w:r w:rsidR="0047435A">
        <w:rPr>
          <w:rFonts w:cs="Arial"/>
          <w:sz w:val="22"/>
        </w:rPr>
        <w:t>IFRS 9]</w:t>
      </w:r>
    </w:p>
    <w:p w14:paraId="5E441BFA" w14:textId="77777777" w:rsidR="00931CCC" w:rsidRDefault="00931CCC">
      <w:pPr>
        <w:pStyle w:val="sectitle"/>
        <w:spacing w:line="360" w:lineRule="auto"/>
        <w:rPr>
          <w:rFonts w:cs="Arial"/>
          <w:b w:val="0"/>
          <w:bCs/>
          <w:sz w:val="22"/>
        </w:rPr>
      </w:pPr>
    </w:p>
    <w:p w14:paraId="5E441BFB" w14:textId="77777777" w:rsidR="00931CCC" w:rsidRDefault="00931CCC">
      <w:pPr>
        <w:pStyle w:val="sectitle"/>
        <w:spacing w:line="360" w:lineRule="auto"/>
        <w:rPr>
          <w:rFonts w:cs="Arial"/>
          <w:b w:val="0"/>
          <w:bCs/>
          <w:sz w:val="22"/>
        </w:rPr>
      </w:pPr>
      <w:r>
        <w:rPr>
          <w:rFonts w:cs="Arial"/>
          <w:b w:val="0"/>
          <w:bCs/>
          <w:sz w:val="22"/>
        </w:rPr>
        <w:t xml:space="preserve">In reviewing the aged accounts received at April 30, Year 12 we determined that there was a balance of $835,000 from Mountain Bank, which was overdue by more than 120 days.  On June 1, $450,000 was received from the customer and the balance remains outstanding.  There are between five and ten sites where the Bank is not completely satisfied with the way the cameras were installed. </w:t>
      </w:r>
    </w:p>
    <w:p w14:paraId="5E441BFC" w14:textId="77777777" w:rsidR="00931CCC" w:rsidRDefault="00931CCC">
      <w:pPr>
        <w:pStyle w:val="sectitle"/>
        <w:spacing w:line="360" w:lineRule="auto"/>
        <w:rPr>
          <w:rFonts w:cs="Arial"/>
          <w:b w:val="0"/>
          <w:bCs/>
          <w:sz w:val="22"/>
        </w:rPr>
      </w:pPr>
    </w:p>
    <w:p w14:paraId="5E441BFD" w14:textId="77777777" w:rsidR="00931CCC" w:rsidRDefault="00931CCC">
      <w:pPr>
        <w:pStyle w:val="sectitle"/>
        <w:spacing w:line="360" w:lineRule="auto"/>
        <w:rPr>
          <w:rFonts w:cs="Arial"/>
          <w:b w:val="0"/>
          <w:bCs/>
          <w:sz w:val="22"/>
        </w:rPr>
      </w:pPr>
      <w:r>
        <w:rPr>
          <w:rFonts w:cs="Arial"/>
          <w:b w:val="0"/>
          <w:bCs/>
          <w:sz w:val="22"/>
        </w:rPr>
        <w:t>Two issues arise which must be analyzed in succession.  First, is it appropriate to recognize revenue upon delivery, installation, and sign off by the customer?  And second, if revenue recognition is appropriate, is collection of the remaining accounts receivable doubtful?</w:t>
      </w:r>
    </w:p>
    <w:p w14:paraId="5E441BFE" w14:textId="77777777" w:rsidR="00931CCC" w:rsidRDefault="00931CCC">
      <w:pPr>
        <w:pStyle w:val="sectitle"/>
        <w:spacing w:line="360" w:lineRule="auto"/>
        <w:rPr>
          <w:rFonts w:cs="Arial"/>
          <w:b w:val="0"/>
          <w:bCs/>
          <w:sz w:val="22"/>
        </w:rPr>
      </w:pPr>
    </w:p>
    <w:p w14:paraId="5E441C09" w14:textId="53F7B860" w:rsidR="00931CCC" w:rsidRDefault="00931CCC" w:rsidP="00625939">
      <w:pPr>
        <w:pStyle w:val="sectitle"/>
        <w:spacing w:line="360" w:lineRule="auto"/>
        <w:rPr>
          <w:rFonts w:cs="Arial"/>
          <w:bCs/>
        </w:rPr>
      </w:pPr>
      <w:r>
        <w:rPr>
          <w:rFonts w:cs="Arial"/>
          <w:b w:val="0"/>
          <w:bCs/>
          <w:sz w:val="22"/>
        </w:rPr>
        <w:t xml:space="preserve">On the issue of revenue recognition, </w:t>
      </w:r>
      <w:r w:rsidR="00694DB8">
        <w:rPr>
          <w:rFonts w:cs="Arial"/>
          <w:b w:val="0"/>
          <w:bCs/>
          <w:sz w:val="22"/>
        </w:rPr>
        <w:t>IFRS 15</w:t>
      </w:r>
      <w:r w:rsidR="0047435A">
        <w:rPr>
          <w:rFonts w:cs="Arial"/>
          <w:b w:val="0"/>
          <w:bCs/>
          <w:sz w:val="22"/>
        </w:rPr>
        <w:t>.31</w:t>
      </w:r>
      <w:r w:rsidR="00694DB8">
        <w:rPr>
          <w:rFonts w:cs="Arial"/>
          <w:b w:val="0"/>
          <w:bCs/>
          <w:sz w:val="22"/>
        </w:rPr>
        <w:t xml:space="preserve"> </w:t>
      </w:r>
      <w:r>
        <w:rPr>
          <w:rFonts w:cs="Arial"/>
          <w:b w:val="0"/>
          <w:bCs/>
          <w:sz w:val="22"/>
        </w:rPr>
        <w:t xml:space="preserve"> says that revenue </w:t>
      </w:r>
      <w:r w:rsidR="0047435A">
        <w:rPr>
          <w:rFonts w:cs="Arial"/>
          <w:b w:val="0"/>
          <w:bCs/>
          <w:sz w:val="22"/>
        </w:rPr>
        <w:t xml:space="preserve">shall </w:t>
      </w:r>
      <w:r>
        <w:rPr>
          <w:rFonts w:cs="Arial"/>
          <w:b w:val="0"/>
          <w:bCs/>
          <w:sz w:val="22"/>
        </w:rPr>
        <w:t xml:space="preserve">be recognized when </w:t>
      </w:r>
      <w:r w:rsidR="0047435A">
        <w:rPr>
          <w:rFonts w:cs="Arial"/>
          <w:b w:val="0"/>
          <w:bCs/>
          <w:sz w:val="22"/>
        </w:rPr>
        <w:t>(or as) the entity satisfied a performance obligation by transferring a promised good or service (</w:t>
      </w:r>
      <w:r w:rsidR="00C70B64">
        <w:rPr>
          <w:rFonts w:cs="Arial"/>
          <w:b w:val="0"/>
          <w:bCs/>
          <w:sz w:val="22"/>
        </w:rPr>
        <w:t>i.e.</w:t>
      </w:r>
      <w:r w:rsidR="0047435A">
        <w:rPr>
          <w:rFonts w:cs="Arial"/>
          <w:b w:val="0"/>
          <w:bCs/>
          <w:sz w:val="22"/>
        </w:rPr>
        <w:t xml:space="preserve"> an asset) to a customer. An asset is transferred when (or as) the customer obtains control of that asset. </w:t>
      </w:r>
    </w:p>
    <w:p w14:paraId="5E441C0A" w14:textId="77777777" w:rsidR="00931CCC" w:rsidRDefault="00931CCC">
      <w:pPr>
        <w:pStyle w:val="sectitle"/>
        <w:spacing w:line="360" w:lineRule="auto"/>
        <w:ind w:left="360" w:hanging="360"/>
        <w:rPr>
          <w:rFonts w:cs="Arial"/>
          <w:b w:val="0"/>
          <w:sz w:val="22"/>
          <w:szCs w:val="16"/>
        </w:rPr>
      </w:pPr>
    </w:p>
    <w:p w14:paraId="5E441C0B" w14:textId="61691756" w:rsidR="00931CCC" w:rsidRDefault="00931CCC">
      <w:pPr>
        <w:pStyle w:val="sectitle"/>
        <w:spacing w:line="360" w:lineRule="auto"/>
        <w:rPr>
          <w:rFonts w:cs="Arial"/>
          <w:b w:val="0"/>
          <w:sz w:val="22"/>
          <w:szCs w:val="16"/>
        </w:rPr>
      </w:pPr>
      <w:r>
        <w:rPr>
          <w:rFonts w:cs="Arial"/>
          <w:b w:val="0"/>
          <w:sz w:val="22"/>
          <w:szCs w:val="16"/>
        </w:rPr>
        <w:t>In this case</w:t>
      </w:r>
      <w:r w:rsidR="0047435A">
        <w:rPr>
          <w:rFonts w:cs="Arial"/>
          <w:b w:val="0"/>
          <w:sz w:val="22"/>
          <w:szCs w:val="16"/>
        </w:rPr>
        <w:t xml:space="preserve">, </w:t>
      </w:r>
      <w:r>
        <w:rPr>
          <w:rFonts w:cs="Arial"/>
          <w:b w:val="0"/>
          <w:sz w:val="22"/>
          <w:szCs w:val="16"/>
        </w:rPr>
        <w:t xml:space="preserve">the above conditions were met upon delivery and installation of the cameras.   Revenue may be held back, however, to the extent that a customer acceptance term exists in the arrangement.  Although no terms exist in the contract with Mountain that requires the client to come back and adjust the installation of the cameras, it could be argued that such a term exists implicitly since the client has been willing to do so and has accommodated the customer.  The question then becomes whether this implicit acceptance is material such that it could be argued that the delivery criterion has not been met.  In this case I believe the answer is no.  The work required to complete the adjustments is minimal and within the control of RSI, and has </w:t>
      </w:r>
      <w:r>
        <w:rPr>
          <w:rFonts w:cs="Arial"/>
          <w:b w:val="0"/>
          <w:sz w:val="22"/>
          <w:szCs w:val="16"/>
        </w:rPr>
        <w:lastRenderedPageBreak/>
        <w:t xml:space="preserve">nothing to do with the quality of the product.  On this basis, it appears that revenue recognition was appropriate.  </w:t>
      </w:r>
    </w:p>
    <w:p w14:paraId="5E441C0C" w14:textId="77777777" w:rsidR="00931CCC" w:rsidRDefault="00931CCC">
      <w:pPr>
        <w:pStyle w:val="sectitle"/>
        <w:spacing w:line="360" w:lineRule="auto"/>
        <w:rPr>
          <w:rFonts w:cs="Arial"/>
          <w:b w:val="0"/>
          <w:sz w:val="22"/>
          <w:szCs w:val="16"/>
        </w:rPr>
      </w:pPr>
    </w:p>
    <w:p w14:paraId="5E441C0D" w14:textId="7C8EAFAE" w:rsidR="00931CCC" w:rsidRDefault="007C423A">
      <w:pPr>
        <w:pStyle w:val="sectitle"/>
        <w:spacing w:line="360" w:lineRule="auto"/>
        <w:rPr>
          <w:rFonts w:cs="Arial"/>
          <w:b w:val="0"/>
          <w:sz w:val="22"/>
          <w:szCs w:val="16"/>
        </w:rPr>
      </w:pPr>
      <w:r>
        <w:rPr>
          <w:rFonts w:cs="Arial"/>
          <w:b w:val="0"/>
          <w:sz w:val="22"/>
          <w:szCs w:val="16"/>
        </w:rPr>
        <w:t>IFRS 9. 5.5.15 states that</w:t>
      </w:r>
      <w:r w:rsidR="0047435A">
        <w:rPr>
          <w:rFonts w:cs="Arial"/>
          <w:b w:val="0"/>
          <w:sz w:val="22"/>
          <w:szCs w:val="16"/>
        </w:rPr>
        <w:t xml:space="preserve"> </w:t>
      </w:r>
      <w:r>
        <w:rPr>
          <w:rFonts w:cs="Arial"/>
          <w:b w:val="0"/>
          <w:sz w:val="22"/>
          <w:szCs w:val="16"/>
        </w:rPr>
        <w:t xml:space="preserve">an entity should measure the loss allowance at an amount equal to lifetime expected credit losses. </w:t>
      </w:r>
      <w:r w:rsidR="00931CCC">
        <w:rPr>
          <w:rFonts w:cs="Arial"/>
          <w:b w:val="0"/>
          <w:sz w:val="22"/>
          <w:szCs w:val="16"/>
        </w:rPr>
        <w:t>In this case, there is evidence that the customer is willing to pay once the minor fixes are complete given the $450,000 payment that was made in June.  It appears unlikely that the customer will not pay.  We should examine Mountain’s payment history a little closer to determine whether amounts were unpaid regarding prior work/product sold and whether any amounts were written off/forgiven. In the absence of either, it would appear supportable that the accounts receivable related to this sale are collectible and do not need to written down/off.</w:t>
      </w:r>
    </w:p>
    <w:p w14:paraId="5E441C0E" w14:textId="77777777" w:rsidR="00931CCC" w:rsidRDefault="00931CCC">
      <w:pPr>
        <w:pStyle w:val="sectitle"/>
        <w:spacing w:line="360" w:lineRule="auto"/>
        <w:rPr>
          <w:rFonts w:cs="Arial"/>
          <w:b w:val="0"/>
          <w:sz w:val="22"/>
          <w:szCs w:val="16"/>
        </w:rPr>
      </w:pPr>
    </w:p>
    <w:p w14:paraId="5E441C0F" w14:textId="77777777" w:rsidR="00931CCC" w:rsidRDefault="00931CCC">
      <w:pPr>
        <w:pStyle w:val="sectitle"/>
        <w:spacing w:line="360" w:lineRule="auto"/>
        <w:rPr>
          <w:rFonts w:cs="Arial"/>
          <w:bCs/>
          <w:sz w:val="22"/>
          <w:szCs w:val="16"/>
        </w:rPr>
      </w:pPr>
      <w:r>
        <w:rPr>
          <w:rFonts w:cs="Arial"/>
          <w:bCs/>
          <w:sz w:val="22"/>
          <w:szCs w:val="16"/>
        </w:rPr>
        <w:t>Overall Impact</w:t>
      </w:r>
    </w:p>
    <w:p w14:paraId="5E441C10" w14:textId="77777777" w:rsidR="00931CCC" w:rsidRDefault="00931CCC">
      <w:pPr>
        <w:pStyle w:val="sectitle"/>
        <w:spacing w:line="360" w:lineRule="auto"/>
        <w:rPr>
          <w:rFonts w:cs="Arial"/>
          <w:bCs/>
          <w:sz w:val="22"/>
          <w:szCs w:val="16"/>
        </w:rPr>
      </w:pPr>
    </w:p>
    <w:p w14:paraId="5E441C11" w14:textId="77777777" w:rsidR="00931CCC" w:rsidRDefault="00931CCC">
      <w:pPr>
        <w:pStyle w:val="Header"/>
        <w:tabs>
          <w:tab w:val="clear" w:pos="4320"/>
          <w:tab w:val="clear" w:pos="8640"/>
        </w:tabs>
        <w:spacing w:line="360" w:lineRule="auto"/>
        <w:rPr>
          <w:rFonts w:cs="Arial"/>
          <w:szCs w:val="22"/>
        </w:rPr>
      </w:pPr>
      <w:r>
        <w:rPr>
          <w:rFonts w:cs="Arial"/>
        </w:rPr>
        <w:t xml:space="preserve">Based on the recommendations above, </w:t>
      </w:r>
      <w:r>
        <w:rPr>
          <w:rFonts w:cs="Arial"/>
          <w:szCs w:val="22"/>
        </w:rPr>
        <w:t xml:space="preserve">RSI’s revenue, net income and shareholder’s equity will decrease. RSI will not like these adjustments because they worsen the key financial metrics. The adjustments are appropriate as they better reflect the results of operations and financial position of RSI in accordance with GAAP. </w:t>
      </w:r>
    </w:p>
    <w:p w14:paraId="5E441C12" w14:textId="77777777" w:rsidR="00931CCC" w:rsidRDefault="00931CCC">
      <w:pPr>
        <w:pStyle w:val="sectitle"/>
        <w:spacing w:line="360" w:lineRule="auto"/>
        <w:rPr>
          <w:rFonts w:cs="Arial"/>
          <w:b w:val="0"/>
          <w:sz w:val="22"/>
          <w:szCs w:val="16"/>
        </w:rPr>
      </w:pPr>
    </w:p>
    <w:p w14:paraId="5E441C13" w14:textId="77777777" w:rsidR="00931CCC" w:rsidRDefault="00931CCC">
      <w:pPr>
        <w:pStyle w:val="sectitle"/>
        <w:spacing w:line="360" w:lineRule="auto"/>
        <w:rPr>
          <w:rFonts w:cs="Arial"/>
          <w:sz w:val="22"/>
          <w:szCs w:val="16"/>
        </w:rPr>
      </w:pPr>
      <w:r>
        <w:rPr>
          <w:rFonts w:cs="Arial"/>
          <w:bCs/>
          <w:sz w:val="28"/>
        </w:rPr>
        <w:t>CASE 1-5</w:t>
      </w:r>
    </w:p>
    <w:p w14:paraId="5E441C14" w14:textId="77777777" w:rsidR="003517E4" w:rsidRPr="00602483" w:rsidRDefault="003517E4" w:rsidP="003517E4">
      <w:pPr>
        <w:tabs>
          <w:tab w:val="left" w:pos="360"/>
        </w:tabs>
        <w:rPr>
          <w:rFonts w:cs="Arial"/>
          <w:b/>
          <w:szCs w:val="22"/>
        </w:rPr>
      </w:pPr>
      <w:r w:rsidRPr="00855A37">
        <w:rPr>
          <w:rFonts w:cs="Arial"/>
          <w:b/>
          <w:szCs w:val="22"/>
        </w:rPr>
        <w:t xml:space="preserve">Comments regarding July 1 to September 30, </w:t>
      </w:r>
      <w:r w:rsidRPr="00602483">
        <w:rPr>
          <w:rFonts w:cs="Arial"/>
          <w:b/>
          <w:szCs w:val="22"/>
        </w:rPr>
        <w:t xml:space="preserve">Year 9 (Q1) Financial Statements </w:t>
      </w:r>
    </w:p>
    <w:p w14:paraId="5E441C15" w14:textId="77777777" w:rsidR="003517E4" w:rsidRPr="008121FA" w:rsidRDefault="003517E4" w:rsidP="003517E4">
      <w:pPr>
        <w:tabs>
          <w:tab w:val="left" w:pos="360"/>
        </w:tabs>
        <w:rPr>
          <w:rFonts w:cs="Arial"/>
          <w:szCs w:val="22"/>
        </w:rPr>
      </w:pPr>
    </w:p>
    <w:p w14:paraId="5E441C16" w14:textId="77777777" w:rsidR="003517E4" w:rsidRPr="00E05DAA" w:rsidRDefault="003517E4" w:rsidP="006F3822">
      <w:pPr>
        <w:tabs>
          <w:tab w:val="left" w:pos="360"/>
        </w:tabs>
        <w:spacing w:line="360" w:lineRule="auto"/>
        <w:rPr>
          <w:rFonts w:cs="Arial"/>
          <w:szCs w:val="22"/>
        </w:rPr>
      </w:pPr>
      <w:r w:rsidRPr="00B779FD">
        <w:rPr>
          <w:rFonts w:cs="Arial"/>
          <w:szCs w:val="22"/>
        </w:rPr>
        <w:t>On review of the draft first quarter interim financial statements, I have noted s</w:t>
      </w:r>
      <w:r w:rsidRPr="003F0E72">
        <w:rPr>
          <w:rFonts w:cs="Arial"/>
          <w:szCs w:val="22"/>
        </w:rPr>
        <w:t xml:space="preserve">everal items that require corrections because they are not currently compliant with ASPE, or that require further investigation before we decide whether they are compliant. </w:t>
      </w:r>
    </w:p>
    <w:p w14:paraId="5E441C17" w14:textId="77777777" w:rsidR="003517E4" w:rsidRPr="003C2C94" w:rsidRDefault="003517E4" w:rsidP="006F3822">
      <w:pPr>
        <w:tabs>
          <w:tab w:val="left" w:pos="360"/>
        </w:tabs>
        <w:spacing w:line="360" w:lineRule="auto"/>
        <w:rPr>
          <w:rFonts w:cs="Arial"/>
          <w:szCs w:val="22"/>
        </w:rPr>
      </w:pPr>
      <w:r w:rsidRPr="000F0766">
        <w:rPr>
          <w:rFonts w:cs="Arial"/>
          <w:szCs w:val="22"/>
        </w:rPr>
        <w:tab/>
        <w:t xml:space="preserve">I have noted four issues that require corrections. </w:t>
      </w:r>
    </w:p>
    <w:p w14:paraId="5E441C18" w14:textId="77777777" w:rsidR="003517E4" w:rsidRPr="00674F6A" w:rsidRDefault="003517E4" w:rsidP="006F3822">
      <w:pPr>
        <w:pStyle w:val="ListParagraph"/>
        <w:numPr>
          <w:ilvl w:val="0"/>
          <w:numId w:val="54"/>
        </w:numPr>
        <w:tabs>
          <w:tab w:val="left" w:pos="360"/>
        </w:tabs>
        <w:spacing w:line="360" w:lineRule="auto"/>
        <w:ind w:left="360"/>
        <w:rPr>
          <w:rFonts w:cs="Arial"/>
          <w:szCs w:val="22"/>
        </w:rPr>
      </w:pPr>
      <w:r w:rsidRPr="003C2C94">
        <w:rPr>
          <w:rFonts w:cs="Arial"/>
          <w:szCs w:val="22"/>
        </w:rPr>
        <w:t xml:space="preserve">Long-Term Debt Arrangement </w:t>
      </w:r>
    </w:p>
    <w:p w14:paraId="5E441C19" w14:textId="77777777" w:rsidR="003517E4" w:rsidRPr="006F3822" w:rsidRDefault="003517E4" w:rsidP="006F3822">
      <w:pPr>
        <w:tabs>
          <w:tab w:val="left" w:pos="360"/>
        </w:tabs>
        <w:spacing w:line="360" w:lineRule="auto"/>
        <w:ind w:left="360"/>
        <w:rPr>
          <w:rFonts w:cs="Arial"/>
          <w:szCs w:val="22"/>
        </w:rPr>
      </w:pPr>
      <w:r w:rsidRPr="006F3822">
        <w:rPr>
          <w:rFonts w:cs="Arial"/>
          <w:szCs w:val="22"/>
        </w:rPr>
        <w:t xml:space="preserve">During the first quarter, GPL entered into a long-term debt arrangement of $1 million at a rate of 5% (compared to a market rate of 9%) for 10 years. In obtaining the debt, $70,000 in transaction costs were incurred. Currently, GPL has recorded a loan at the face amount and the issue costs have been capitalized under other assets on the balance sheet. However, there is a conversion option related to the debt. The principal of the debt can be converted, at the option of the lender, into 200,000 common shares of GPL at any time prior to maturity. </w:t>
      </w:r>
    </w:p>
    <w:p w14:paraId="5E441C1A" w14:textId="77777777" w:rsidR="003517E4" w:rsidRPr="006F3822" w:rsidRDefault="003517E4" w:rsidP="006F3822">
      <w:pPr>
        <w:tabs>
          <w:tab w:val="left" w:pos="360"/>
        </w:tabs>
        <w:spacing w:line="360" w:lineRule="auto"/>
        <w:ind w:left="360"/>
        <w:rPr>
          <w:rFonts w:cs="Arial"/>
          <w:szCs w:val="22"/>
        </w:rPr>
      </w:pPr>
      <w:r w:rsidRPr="006F3822">
        <w:rPr>
          <w:rFonts w:cs="Arial"/>
          <w:szCs w:val="22"/>
        </w:rPr>
        <w:lastRenderedPageBreak/>
        <w:t xml:space="preserve">The treatment of the long-term debt arrangement raises some accounting issues. First, the conversion option does not appear to have been considered in accounting for the transaction. Second, the treatment of the transaction costs is incorrect. </w:t>
      </w:r>
    </w:p>
    <w:p w14:paraId="5E441C1B" w14:textId="77777777" w:rsidR="003517E4" w:rsidRPr="006F3822" w:rsidRDefault="003517E4" w:rsidP="006F3822">
      <w:pPr>
        <w:tabs>
          <w:tab w:val="left" w:pos="360"/>
        </w:tabs>
        <w:spacing w:line="360" w:lineRule="auto"/>
        <w:ind w:left="360"/>
        <w:rPr>
          <w:rFonts w:cs="Arial"/>
          <w:szCs w:val="22"/>
        </w:rPr>
      </w:pPr>
      <w:r w:rsidRPr="006F3822">
        <w:rPr>
          <w:rFonts w:cs="Arial"/>
          <w:i/>
          <w:szCs w:val="22"/>
        </w:rPr>
        <w:t>a) Accounting for the conversion feature</w:t>
      </w:r>
      <w:r w:rsidRPr="006F3822">
        <w:rPr>
          <w:rFonts w:cs="Arial"/>
          <w:szCs w:val="22"/>
        </w:rPr>
        <w:t xml:space="preserve"> </w:t>
      </w:r>
    </w:p>
    <w:p w14:paraId="5E441C1C" w14:textId="77777777" w:rsidR="003517E4" w:rsidRPr="003F0E72" w:rsidRDefault="003517E4" w:rsidP="006F3822">
      <w:pPr>
        <w:tabs>
          <w:tab w:val="left" w:pos="360"/>
        </w:tabs>
        <w:spacing w:line="360" w:lineRule="auto"/>
        <w:ind w:left="360"/>
        <w:rPr>
          <w:rFonts w:cs="Arial"/>
          <w:szCs w:val="22"/>
        </w:rPr>
      </w:pPr>
      <w:r w:rsidRPr="006F3822">
        <w:rPr>
          <w:rFonts w:cs="Arial"/>
          <w:szCs w:val="22"/>
        </w:rPr>
        <w:t xml:space="preserve">Section 3856 of Part II of the </w:t>
      </w:r>
      <w:r w:rsidR="008121FA">
        <w:rPr>
          <w:rFonts w:cs="Arial"/>
          <w:i/>
          <w:szCs w:val="22"/>
        </w:rPr>
        <w:t>CPA Canada</w:t>
      </w:r>
      <w:r w:rsidRPr="00B779FD">
        <w:rPr>
          <w:rFonts w:cs="Arial"/>
          <w:i/>
          <w:szCs w:val="22"/>
        </w:rPr>
        <w:t xml:space="preserve"> Handbook </w:t>
      </w:r>
      <w:r w:rsidRPr="003F0E72">
        <w:rPr>
          <w:rFonts w:cs="Arial"/>
          <w:szCs w:val="22"/>
        </w:rPr>
        <w:t>states the following:</w:t>
      </w:r>
    </w:p>
    <w:p w14:paraId="5E441C1D" w14:textId="77777777" w:rsidR="003517E4" w:rsidRPr="00E05DAA" w:rsidRDefault="003517E4" w:rsidP="006F3822">
      <w:pPr>
        <w:tabs>
          <w:tab w:val="left" w:pos="360"/>
        </w:tabs>
        <w:spacing w:line="360" w:lineRule="auto"/>
        <w:ind w:left="360"/>
        <w:rPr>
          <w:rFonts w:cs="Arial"/>
          <w:szCs w:val="22"/>
        </w:rPr>
      </w:pPr>
    </w:p>
    <w:p w14:paraId="5E441C1E" w14:textId="77777777" w:rsidR="003517E4" w:rsidRPr="006F3822" w:rsidRDefault="003517E4" w:rsidP="006F3822">
      <w:pPr>
        <w:pStyle w:val="paragraph"/>
        <w:spacing w:line="360" w:lineRule="auto"/>
        <w:rPr>
          <w:rFonts w:ascii="Arial" w:hAnsi="Arial" w:cs="Arial"/>
          <w:color w:val="000000" w:themeColor="text1"/>
        </w:rPr>
      </w:pPr>
      <w:r w:rsidRPr="006F3822">
        <w:rPr>
          <w:rFonts w:ascii="Arial" w:hAnsi="Arial" w:cs="Arial"/>
          <w:color w:val="000000" w:themeColor="text1"/>
        </w:rPr>
        <w:t>.20 states, “…,</w:t>
      </w:r>
      <w:r w:rsidRPr="006F3822">
        <w:rPr>
          <w:rFonts w:ascii="Arial" w:hAnsi="Arial" w:cs="Arial"/>
          <w:i/>
          <w:iCs/>
          <w:color w:val="000000" w:themeColor="text1"/>
        </w:rPr>
        <w:t xml:space="preserve"> the issuer of a financial instrument shall classify the instrument, or its component parts, as a liability or as equity in accordance with the substance of the contractual arrangement on initial recognition and the definitions of a financial liability and an equity instrument.</w:t>
      </w:r>
      <w:r w:rsidRPr="006F3822">
        <w:rPr>
          <w:rFonts w:ascii="Arial" w:hAnsi="Arial" w:cs="Arial"/>
          <w:color w:val="000000" w:themeColor="text1"/>
        </w:rPr>
        <w:t xml:space="preserve"> </w:t>
      </w:r>
    </w:p>
    <w:p w14:paraId="5E441C1F" w14:textId="77777777" w:rsidR="003517E4" w:rsidRPr="006F3822" w:rsidRDefault="003517E4" w:rsidP="006F3822">
      <w:pPr>
        <w:pStyle w:val="paragraph"/>
        <w:spacing w:line="360" w:lineRule="auto"/>
        <w:rPr>
          <w:rFonts w:ascii="Arial" w:hAnsi="Arial" w:cs="Arial"/>
          <w:color w:val="000000" w:themeColor="text1"/>
        </w:rPr>
      </w:pPr>
      <w:bookmarkStart w:id="1" w:name="para_114"/>
      <w:bookmarkStart w:id="2" w:name="3856.21"/>
      <w:bookmarkEnd w:id="1"/>
      <w:bookmarkEnd w:id="2"/>
      <w:r w:rsidRPr="006F3822">
        <w:rPr>
          <w:rFonts w:ascii="Arial" w:hAnsi="Arial" w:cs="Arial"/>
          <w:color w:val="000000" w:themeColor="text1"/>
        </w:rPr>
        <w:t>.21 states, “</w:t>
      </w:r>
      <w:r w:rsidRPr="006F3822">
        <w:rPr>
          <w:rFonts w:ascii="Arial" w:hAnsi="Arial" w:cs="Arial"/>
          <w:i/>
          <w:iCs/>
          <w:color w:val="000000" w:themeColor="text1"/>
        </w:rPr>
        <w:t>The issuer of a financial instrument that contains both a liability and an equity element, including warrants or options issued with and detachable from a financial liability, shall classify the instrument's component parts separately in accordance with paragraph 3856.20.</w:t>
      </w:r>
      <w:bookmarkStart w:id="3" w:name="para_115"/>
      <w:bookmarkStart w:id="4" w:name="3856.22"/>
      <w:bookmarkEnd w:id="3"/>
      <w:bookmarkEnd w:id="4"/>
      <w:r w:rsidRPr="006F3822">
        <w:rPr>
          <w:rFonts w:ascii="Arial" w:hAnsi="Arial" w:cs="Arial"/>
          <w:color w:val="000000" w:themeColor="text1"/>
        </w:rPr>
        <w:t>     </w:t>
      </w:r>
    </w:p>
    <w:p w14:paraId="5E441C20" w14:textId="77777777" w:rsidR="003517E4" w:rsidRPr="000F0766" w:rsidRDefault="003517E4" w:rsidP="006F3822">
      <w:pPr>
        <w:tabs>
          <w:tab w:val="left" w:pos="360"/>
        </w:tabs>
        <w:spacing w:line="360" w:lineRule="auto"/>
        <w:ind w:left="360"/>
        <w:rPr>
          <w:rFonts w:cs="Arial"/>
          <w:szCs w:val="22"/>
        </w:rPr>
      </w:pPr>
      <w:r w:rsidRPr="008121FA">
        <w:rPr>
          <w:rFonts w:cs="Arial"/>
          <w:szCs w:val="22"/>
        </w:rPr>
        <w:t>It appears that GPL has an arrangement in w</w:t>
      </w:r>
      <w:r w:rsidRPr="00B779FD">
        <w:rPr>
          <w:rFonts w:cs="Arial"/>
          <w:szCs w:val="22"/>
        </w:rPr>
        <w:t>hich there is both a debt and an equity element to the transaction. Normally the debt would have to have been financed at a market rate of 9%. In this par</w:t>
      </w:r>
      <w:r w:rsidRPr="003F0E72">
        <w:rPr>
          <w:rFonts w:cs="Arial"/>
          <w:szCs w:val="22"/>
        </w:rPr>
        <w:t>ticular arrangement, the loan rate was reduced by 4% in return for issuing a conversion option to the debt holder. It appears that the lender has “paid” for the option of converting the debt principal repayments into shares of GPL in an amount equivalent t</w:t>
      </w:r>
      <w:r w:rsidRPr="00E05DAA">
        <w:rPr>
          <w:rFonts w:cs="Arial"/>
          <w:szCs w:val="22"/>
        </w:rPr>
        <w:t xml:space="preserve">o the extra 4% interest they could have collected on the debt had they charged the market rate. </w:t>
      </w:r>
    </w:p>
    <w:p w14:paraId="5E441C21" w14:textId="77777777" w:rsidR="003517E4" w:rsidRPr="006F3822" w:rsidRDefault="003517E4" w:rsidP="006F3822">
      <w:pPr>
        <w:pStyle w:val="paragraph"/>
        <w:spacing w:line="360" w:lineRule="auto"/>
        <w:rPr>
          <w:rFonts w:ascii="Arial" w:hAnsi="Arial" w:cs="Arial"/>
          <w:color w:val="000000" w:themeColor="text1"/>
        </w:rPr>
      </w:pPr>
      <w:r w:rsidRPr="003517E4">
        <w:rPr>
          <w:rFonts w:ascii="Arial" w:hAnsi="Arial" w:cs="Arial"/>
        </w:rPr>
        <w:t xml:space="preserve">Based on the above </w:t>
      </w:r>
      <w:r w:rsidRPr="003517E4">
        <w:rPr>
          <w:rFonts w:ascii="Arial" w:hAnsi="Arial" w:cs="Arial"/>
          <w:i/>
        </w:rPr>
        <w:t>Handbook</w:t>
      </w:r>
      <w:r w:rsidRPr="003517E4">
        <w:rPr>
          <w:rFonts w:ascii="Arial" w:hAnsi="Arial" w:cs="Arial"/>
        </w:rPr>
        <w:t xml:space="preserve"> description, GPL needs to allocate a portion of the proceeds from the financing to the equity component. The easiest way to do so is to first determine the carrying amount of the financial liability by discounting the stream of future payments of interest and principal at the prevailing market rate for a similar liability that does not have an associated equity component; in other words, by using the 9% market rate. The carrying amount of the equity instrument, represented by the option to convert the instrument into common shares, is then determined by deducting </w:t>
      </w:r>
      <w:r w:rsidRPr="006F3822">
        <w:rPr>
          <w:rFonts w:ascii="Arial" w:hAnsi="Arial" w:cs="Arial"/>
          <w:color w:val="000000" w:themeColor="text1"/>
        </w:rPr>
        <w:t xml:space="preserve">the carrying amount of the financial liability from the amount of the compound instrument as a whole. Under a second approach, </w:t>
      </w:r>
      <w:bookmarkStart w:id="5" w:name="para_116"/>
      <w:bookmarkEnd w:id="5"/>
      <w:r w:rsidRPr="006F3822">
        <w:rPr>
          <w:rFonts w:ascii="Arial" w:hAnsi="Arial" w:cs="Arial"/>
          <w:color w:val="000000" w:themeColor="text1"/>
        </w:rPr>
        <w:t>the equity component could be measured as zero. If so, the entire proceeds of the issue would be allocated to the liability component.</w:t>
      </w:r>
    </w:p>
    <w:p w14:paraId="5E441C22" w14:textId="77777777" w:rsidR="003517E4" w:rsidRPr="006F3822" w:rsidRDefault="003517E4" w:rsidP="006F3822">
      <w:pPr>
        <w:tabs>
          <w:tab w:val="left" w:pos="360"/>
        </w:tabs>
        <w:spacing w:line="360" w:lineRule="auto"/>
        <w:ind w:left="360"/>
        <w:rPr>
          <w:rFonts w:cs="Arial"/>
          <w:color w:val="000000" w:themeColor="text1"/>
          <w:szCs w:val="22"/>
        </w:rPr>
      </w:pPr>
      <w:bookmarkStart w:id="6" w:name="para_117"/>
      <w:bookmarkEnd w:id="6"/>
      <w:r w:rsidRPr="006F3822">
        <w:rPr>
          <w:rFonts w:cs="Arial"/>
          <w:color w:val="000000" w:themeColor="text1"/>
          <w:szCs w:val="22"/>
        </w:rPr>
        <w:t xml:space="preserve">The ongoing measurement of the loan portion of the arrangement is determined by the classification of the financial instrument, which in this case is a financial liability. Financial liabilities are to be measured at fair value when they are classified as held for trading (or are </w:t>
      </w:r>
      <w:r w:rsidRPr="006F3822">
        <w:rPr>
          <w:rFonts w:cs="Arial"/>
          <w:color w:val="000000" w:themeColor="text1"/>
          <w:szCs w:val="22"/>
        </w:rPr>
        <w:lastRenderedPageBreak/>
        <w:t xml:space="preserve">certain types of derivatives). Other financial liabilities are subsequently measured at amortized cost. Since the loan in this particular case was made to complete future acquisitions, and it is not held for trading, it should be measured at amortized cost. </w:t>
      </w:r>
    </w:p>
    <w:p w14:paraId="5E441C23" w14:textId="77777777" w:rsidR="003517E4" w:rsidRPr="006F3822" w:rsidRDefault="003517E4" w:rsidP="006F3822">
      <w:pPr>
        <w:tabs>
          <w:tab w:val="left" w:pos="360"/>
        </w:tabs>
        <w:spacing w:line="360" w:lineRule="auto"/>
        <w:ind w:left="360"/>
        <w:rPr>
          <w:rFonts w:cs="Arial"/>
          <w:color w:val="000000" w:themeColor="text1"/>
          <w:szCs w:val="22"/>
        </w:rPr>
      </w:pPr>
    </w:p>
    <w:p w14:paraId="5E441C24" w14:textId="77777777" w:rsidR="003517E4" w:rsidRPr="006F3822" w:rsidRDefault="003517E4" w:rsidP="006F3822">
      <w:pPr>
        <w:tabs>
          <w:tab w:val="left" w:pos="360"/>
        </w:tabs>
        <w:spacing w:line="360" w:lineRule="auto"/>
        <w:ind w:left="360"/>
        <w:rPr>
          <w:rFonts w:cs="Arial"/>
          <w:color w:val="000000" w:themeColor="text1"/>
          <w:szCs w:val="22"/>
        </w:rPr>
      </w:pPr>
      <w:r w:rsidRPr="006F3822">
        <w:rPr>
          <w:rFonts w:cs="Arial"/>
          <w:i/>
          <w:color w:val="000000" w:themeColor="text1"/>
          <w:szCs w:val="22"/>
        </w:rPr>
        <w:t>b) Transaction costs</w:t>
      </w:r>
      <w:r w:rsidRPr="006F3822">
        <w:rPr>
          <w:rFonts w:cs="Arial"/>
          <w:color w:val="000000" w:themeColor="text1"/>
          <w:szCs w:val="22"/>
        </w:rPr>
        <w:t xml:space="preserve"> </w:t>
      </w:r>
    </w:p>
    <w:p w14:paraId="5E441C25" w14:textId="77777777" w:rsidR="003517E4" w:rsidRPr="006F3822" w:rsidRDefault="003517E4" w:rsidP="006F3822">
      <w:pPr>
        <w:tabs>
          <w:tab w:val="left" w:pos="360"/>
        </w:tabs>
        <w:spacing w:line="360" w:lineRule="auto"/>
        <w:ind w:left="360"/>
        <w:rPr>
          <w:rFonts w:cs="Arial"/>
          <w:color w:val="000000" w:themeColor="text1"/>
          <w:szCs w:val="22"/>
        </w:rPr>
      </w:pPr>
      <w:r w:rsidRPr="006F3822">
        <w:rPr>
          <w:rFonts w:cs="Arial"/>
          <w:color w:val="000000" w:themeColor="text1"/>
          <w:szCs w:val="22"/>
        </w:rPr>
        <w:t>According to Section 3856.07,</w:t>
      </w:r>
      <w:r w:rsidRPr="006F3822">
        <w:rPr>
          <w:rFonts w:cs="Arial"/>
          <w:i/>
          <w:iCs/>
          <w:color w:val="000000" w:themeColor="text1"/>
          <w:szCs w:val="22"/>
        </w:rPr>
        <w:t xml:space="preserve"> “When a … financial liability is issued or assumed in an arm's length transaction, an entity shall measure it at its fair value adjusted by financing fees and transaction costs that are directly attributable to its origination, acquisition, issuance or assumption. </w:t>
      </w:r>
    </w:p>
    <w:p w14:paraId="5E441C26" w14:textId="77777777" w:rsidR="003517E4" w:rsidRPr="00674F6A" w:rsidRDefault="003517E4" w:rsidP="006F3822">
      <w:pPr>
        <w:tabs>
          <w:tab w:val="left" w:pos="360"/>
        </w:tabs>
        <w:spacing w:line="360" w:lineRule="auto"/>
        <w:ind w:left="360"/>
        <w:rPr>
          <w:rFonts w:cs="Arial"/>
          <w:szCs w:val="22"/>
        </w:rPr>
      </w:pPr>
      <w:r w:rsidRPr="006F3822">
        <w:rPr>
          <w:rFonts w:cs="Arial"/>
          <w:color w:val="000000" w:themeColor="text1"/>
          <w:szCs w:val="22"/>
        </w:rPr>
        <w:t>Currently GPL has set up a financial asset of $70,000 in other assets and is amortizing it using the effective interest method. Instead, GPL needs to include it in the amount determined for the debt, after allocating a pro-rated portion to the equity conversion featu</w:t>
      </w:r>
      <w:r w:rsidRPr="000F0766">
        <w:rPr>
          <w:rFonts w:cs="Arial"/>
          <w:szCs w:val="22"/>
        </w:rPr>
        <w:t>re. It would be treated similar to a discount on bonds payable. It would be amortized over the life of the debt and incorporated as a component of interest expense using either the effective interest method or straight</w:t>
      </w:r>
      <w:r w:rsidRPr="003C2C94">
        <w:rPr>
          <w:rFonts w:cs="Arial"/>
          <w:szCs w:val="22"/>
        </w:rPr>
        <w:t xml:space="preserve">-line method. </w:t>
      </w:r>
    </w:p>
    <w:p w14:paraId="5E441C27" w14:textId="77777777" w:rsidR="003517E4" w:rsidRPr="006F3822" w:rsidRDefault="003517E4" w:rsidP="006F3822">
      <w:pPr>
        <w:tabs>
          <w:tab w:val="left" w:pos="360"/>
        </w:tabs>
        <w:spacing w:line="360" w:lineRule="auto"/>
        <w:ind w:left="360"/>
        <w:rPr>
          <w:rFonts w:cs="Arial"/>
          <w:szCs w:val="22"/>
        </w:rPr>
      </w:pPr>
    </w:p>
    <w:p w14:paraId="5E441C28" w14:textId="77777777" w:rsidR="003517E4" w:rsidRPr="006F3822" w:rsidRDefault="003517E4" w:rsidP="006F3822">
      <w:pPr>
        <w:tabs>
          <w:tab w:val="left" w:pos="360"/>
        </w:tabs>
        <w:spacing w:line="360" w:lineRule="auto"/>
        <w:ind w:left="360" w:hanging="360"/>
        <w:rPr>
          <w:rFonts w:cs="Arial"/>
          <w:szCs w:val="22"/>
        </w:rPr>
      </w:pPr>
      <w:r w:rsidRPr="006F3822">
        <w:rPr>
          <w:rFonts w:cs="Arial"/>
          <w:b/>
          <w:szCs w:val="22"/>
        </w:rPr>
        <w:t>2. Revenue Recognition</w:t>
      </w:r>
      <w:r w:rsidRPr="006F3822">
        <w:rPr>
          <w:rFonts w:cs="Arial"/>
          <w:szCs w:val="22"/>
        </w:rPr>
        <w:t xml:space="preserve"> </w:t>
      </w:r>
    </w:p>
    <w:p w14:paraId="5E441C29" w14:textId="77777777" w:rsidR="003517E4" w:rsidRPr="006F3822" w:rsidRDefault="003517E4" w:rsidP="006F3822">
      <w:pPr>
        <w:tabs>
          <w:tab w:val="left" w:pos="360"/>
        </w:tabs>
        <w:spacing w:line="360" w:lineRule="auto"/>
        <w:ind w:left="360"/>
        <w:rPr>
          <w:rFonts w:cs="Arial"/>
          <w:szCs w:val="22"/>
        </w:rPr>
      </w:pPr>
      <w:r w:rsidRPr="006F3822">
        <w:rPr>
          <w:rFonts w:cs="Arial"/>
          <w:szCs w:val="22"/>
        </w:rPr>
        <w:t xml:space="preserve">The quarterly highlights mention that title and risk of loss for the special shipment of balls transferred once they were shipped, and that GPL has invoiced the PAC committee for the full amount of this shipment. The committee does not have to pay for the balls until they are sold at the PAC in November, and they can return any unsold balls. But, GPL is confident they will sell all the balls. The accounting for this transaction appears to be incorrect. </w:t>
      </w:r>
    </w:p>
    <w:p w14:paraId="5E441C2A" w14:textId="77777777" w:rsidR="003517E4" w:rsidRPr="006F3822" w:rsidRDefault="003517E4" w:rsidP="006F3822">
      <w:pPr>
        <w:tabs>
          <w:tab w:val="left" w:pos="360"/>
        </w:tabs>
        <w:spacing w:line="360" w:lineRule="auto"/>
        <w:ind w:left="360"/>
        <w:rPr>
          <w:rFonts w:cs="Arial"/>
          <w:szCs w:val="22"/>
        </w:rPr>
      </w:pPr>
      <w:r w:rsidRPr="006F3822">
        <w:rPr>
          <w:rFonts w:cs="Arial"/>
          <w:szCs w:val="22"/>
        </w:rPr>
        <w:t xml:space="preserve">Although title and risk of loss transferred once the balls were shipped, the customer has a right of return until November, and only has to pay for the balls once they are sold in November. The question is whether we have earned the revenue and therefore whether we should have recorded the $900,000 in revenue in the first quarter. </w:t>
      </w:r>
    </w:p>
    <w:p w14:paraId="5E441C2B" w14:textId="77777777" w:rsidR="003517E4" w:rsidRPr="006F3822" w:rsidRDefault="003517E4" w:rsidP="006F3822">
      <w:pPr>
        <w:tabs>
          <w:tab w:val="left" w:pos="360"/>
        </w:tabs>
        <w:spacing w:line="360" w:lineRule="auto"/>
        <w:ind w:left="360"/>
        <w:rPr>
          <w:rFonts w:cs="Arial"/>
          <w:szCs w:val="22"/>
        </w:rPr>
      </w:pPr>
      <w:r w:rsidRPr="006F3822">
        <w:rPr>
          <w:rFonts w:cs="Arial"/>
          <w:szCs w:val="22"/>
        </w:rPr>
        <w:t xml:space="preserve">The general revenue recognition criteria in Section 3400.05 are: </w:t>
      </w:r>
    </w:p>
    <w:p w14:paraId="5E441C2C" w14:textId="77777777" w:rsidR="003517E4" w:rsidRPr="006F3822" w:rsidRDefault="003517E4" w:rsidP="006F3822">
      <w:pPr>
        <w:pStyle w:val="paragraph"/>
        <w:spacing w:line="360" w:lineRule="auto"/>
        <w:ind w:left="360" w:hanging="360"/>
        <w:rPr>
          <w:rFonts w:ascii="Arial" w:hAnsi="Arial" w:cs="Arial"/>
          <w:color w:val="000000" w:themeColor="text1"/>
        </w:rPr>
      </w:pPr>
      <w:r w:rsidRPr="006F3822">
        <w:rPr>
          <w:rFonts w:ascii="Arial" w:hAnsi="Arial" w:cs="Arial"/>
          <w:i/>
          <w:iCs/>
          <w:color w:val="000000" w:themeColor="text1"/>
        </w:rPr>
        <w:t>In a transaction involving the sale of goods, performance shall be regarded as having been achieved when the following conditions have been fulfilled:</w:t>
      </w:r>
    </w:p>
    <w:p w14:paraId="5E441C2D" w14:textId="77777777" w:rsidR="003517E4" w:rsidRPr="006F3822" w:rsidRDefault="003517E4" w:rsidP="006F3822">
      <w:pPr>
        <w:pStyle w:val="bullet"/>
        <w:spacing w:line="360" w:lineRule="auto"/>
        <w:rPr>
          <w:rFonts w:ascii="Arial" w:hAnsi="Arial" w:cs="Arial"/>
          <w:color w:val="000000" w:themeColor="text1"/>
        </w:rPr>
      </w:pPr>
      <w:bookmarkStart w:id="7" w:name="para_17"/>
      <w:bookmarkEnd w:id="7"/>
      <w:r w:rsidRPr="006F3822">
        <w:rPr>
          <w:rFonts w:ascii="Arial" w:hAnsi="Arial" w:cs="Arial"/>
          <w:i/>
          <w:iCs/>
          <w:color w:val="000000" w:themeColor="text1"/>
        </w:rPr>
        <w:t>(a)     the seller of the goods has transferred to the buyer the significant risks and rewards of ownership, in that all significant acts have been completed and the seller retains no continuing managerial involvement in, or effective control of, the goods transferred to a degree usually associated with ownership; and</w:t>
      </w:r>
    </w:p>
    <w:p w14:paraId="5E441C2E" w14:textId="77777777" w:rsidR="003517E4" w:rsidRPr="006F3822" w:rsidRDefault="003517E4" w:rsidP="006F3822">
      <w:pPr>
        <w:pStyle w:val="bullet"/>
        <w:spacing w:line="360" w:lineRule="auto"/>
        <w:rPr>
          <w:rFonts w:ascii="Arial" w:hAnsi="Arial" w:cs="Arial"/>
          <w:color w:val="000000" w:themeColor="text1"/>
        </w:rPr>
      </w:pPr>
      <w:bookmarkStart w:id="8" w:name="para_18"/>
      <w:bookmarkEnd w:id="8"/>
      <w:r w:rsidRPr="006F3822">
        <w:rPr>
          <w:rFonts w:ascii="Arial" w:hAnsi="Arial" w:cs="Arial"/>
          <w:i/>
          <w:iCs/>
          <w:color w:val="000000" w:themeColor="text1"/>
        </w:rPr>
        <w:lastRenderedPageBreak/>
        <w:t>(b)     reasonable assurance exists regarding the measurement of the consideration that will be derived from the sale of goods, and the extent to which goods may be returned.</w:t>
      </w:r>
    </w:p>
    <w:p w14:paraId="5E441C2F" w14:textId="77777777" w:rsidR="003517E4" w:rsidRPr="000F0766" w:rsidRDefault="003517E4" w:rsidP="006F3822">
      <w:pPr>
        <w:tabs>
          <w:tab w:val="left" w:pos="360"/>
        </w:tabs>
        <w:spacing w:line="360" w:lineRule="auto"/>
        <w:ind w:left="360"/>
        <w:rPr>
          <w:rFonts w:cs="Arial"/>
          <w:szCs w:val="22"/>
        </w:rPr>
      </w:pPr>
      <w:r w:rsidRPr="006F3822">
        <w:rPr>
          <w:rFonts w:cs="Arial"/>
          <w:color w:val="000000" w:themeColor="text1"/>
          <w:szCs w:val="22"/>
        </w:rPr>
        <w:t>The transaction appears to meet the requireme</w:t>
      </w:r>
      <w:r w:rsidRPr="003F0E72">
        <w:rPr>
          <w:rFonts w:cs="Arial"/>
          <w:szCs w:val="22"/>
        </w:rPr>
        <w:t>nts of the first condition; however, the second condition may not have been met. Although we are “confident” that the balls will sell out, there is nothing to guarantee this. The number of balls sold is lin</w:t>
      </w:r>
      <w:r w:rsidRPr="00E05DAA">
        <w:rPr>
          <w:rFonts w:cs="Arial"/>
          <w:szCs w:val="22"/>
        </w:rPr>
        <w:t xml:space="preserve">ked to the success of the tournament, and we have no information on sales at the PAC. In addition, because this was a special shipment for GPL, we likely have no prior history with this customer and event. </w:t>
      </w:r>
    </w:p>
    <w:p w14:paraId="5E441C30" w14:textId="77777777" w:rsidR="003517E4" w:rsidRPr="008620BB" w:rsidRDefault="003517E4" w:rsidP="006F3822">
      <w:pPr>
        <w:tabs>
          <w:tab w:val="left" w:pos="360"/>
        </w:tabs>
        <w:spacing w:line="360" w:lineRule="auto"/>
        <w:ind w:left="360"/>
        <w:rPr>
          <w:rFonts w:cs="Arial"/>
          <w:color w:val="000000" w:themeColor="text1"/>
          <w:szCs w:val="22"/>
        </w:rPr>
      </w:pPr>
      <w:r w:rsidRPr="003C2C94">
        <w:rPr>
          <w:rFonts w:cs="Arial"/>
          <w:szCs w:val="22"/>
        </w:rPr>
        <w:t>Furthermore, the fact that the customer does n</w:t>
      </w:r>
      <w:r w:rsidRPr="00674F6A">
        <w:rPr>
          <w:rFonts w:cs="Arial"/>
          <w:szCs w:val="22"/>
        </w:rPr>
        <w:t xml:space="preserve">ot have to pay until November and the fact that it can return any unsold balls raises the question as to whether all the risks and rewards </w:t>
      </w:r>
      <w:r w:rsidRPr="008620BB">
        <w:rPr>
          <w:rFonts w:cs="Arial"/>
          <w:color w:val="000000" w:themeColor="text1"/>
          <w:szCs w:val="22"/>
        </w:rPr>
        <w:t xml:space="preserve">have transferred. Section 3400.13 states that: </w:t>
      </w:r>
    </w:p>
    <w:p w14:paraId="5E441C31" w14:textId="77777777" w:rsidR="003517E4" w:rsidRPr="006F3822" w:rsidRDefault="003517E4" w:rsidP="006F3822">
      <w:pPr>
        <w:tabs>
          <w:tab w:val="left" w:pos="360"/>
        </w:tabs>
        <w:spacing w:line="360" w:lineRule="auto"/>
        <w:ind w:left="360"/>
        <w:rPr>
          <w:rFonts w:cs="Arial"/>
          <w:color w:val="000000" w:themeColor="text1"/>
          <w:szCs w:val="22"/>
        </w:rPr>
      </w:pPr>
      <w:r w:rsidRPr="008620BB">
        <w:rPr>
          <w:rFonts w:cs="Arial"/>
          <w:color w:val="000000" w:themeColor="text1"/>
          <w:szCs w:val="22"/>
        </w:rPr>
        <w:t xml:space="preserve">“Revenue from a transaction involving the sale of goods would be recognized when the </w:t>
      </w:r>
      <w:r w:rsidRPr="00625939">
        <w:rPr>
          <w:rFonts w:cs="Arial"/>
          <w:color w:val="000000" w:themeColor="text1"/>
          <w:szCs w:val="22"/>
        </w:rPr>
        <w:t xml:space="preserve">seller has transferred to the buyer the significant risks and rewards of ownership of the goods sold. When the seller retains significant risks of ownership, it is normally inappropriate to recognize the transaction as a sale. Examples of a significant risk of ownership being retained by a seller are: when there is a liability for unsatisfactory performance not covered </w:t>
      </w:r>
      <w:r w:rsidRPr="006F3822">
        <w:rPr>
          <w:rFonts w:cs="Arial"/>
          <w:color w:val="000000" w:themeColor="text1"/>
          <w:szCs w:val="22"/>
        </w:rPr>
        <w:t xml:space="preserve">by normal warranty provisions; when the purchaser has the right to rescind the transaction; and when the goods are shipped on consignment.” </w:t>
      </w:r>
    </w:p>
    <w:p w14:paraId="5E441C32" w14:textId="77777777" w:rsidR="003517E4" w:rsidRPr="006F3822" w:rsidRDefault="003517E4" w:rsidP="006F3822">
      <w:pPr>
        <w:tabs>
          <w:tab w:val="left" w:pos="360"/>
        </w:tabs>
        <w:spacing w:line="360" w:lineRule="auto"/>
        <w:ind w:left="360"/>
        <w:rPr>
          <w:rFonts w:cs="Arial"/>
          <w:color w:val="000000" w:themeColor="text1"/>
          <w:szCs w:val="22"/>
        </w:rPr>
      </w:pPr>
      <w:r w:rsidRPr="006F3822">
        <w:rPr>
          <w:rFonts w:cs="Arial"/>
          <w:color w:val="000000" w:themeColor="text1"/>
          <w:szCs w:val="22"/>
        </w:rPr>
        <w:t xml:space="preserve">It appears that the transaction is closer to a consignment arrangement than a normal sales transaction. </w:t>
      </w:r>
    </w:p>
    <w:p w14:paraId="5E441C33" w14:textId="77777777" w:rsidR="003517E4" w:rsidRPr="006F3822" w:rsidRDefault="003517E4" w:rsidP="006F3822">
      <w:pPr>
        <w:tabs>
          <w:tab w:val="left" w:pos="360"/>
        </w:tabs>
        <w:spacing w:line="360" w:lineRule="auto"/>
        <w:ind w:left="360"/>
        <w:rPr>
          <w:rFonts w:cs="Arial"/>
          <w:color w:val="000000" w:themeColor="text1"/>
          <w:szCs w:val="22"/>
        </w:rPr>
      </w:pPr>
      <w:r w:rsidRPr="006F3822">
        <w:rPr>
          <w:rFonts w:cs="Arial"/>
          <w:color w:val="000000" w:themeColor="text1"/>
          <w:szCs w:val="22"/>
        </w:rPr>
        <w:t xml:space="preserve">Based on the above, GPL should not have recorded the revenue in Q1. It should wait until the risks and rewards have transferred, in November, to record the revenue. GPL may wish to include this information as part of the Summary Highlights, but it would not have to be disclosed as part of the Q1 notes. </w:t>
      </w:r>
    </w:p>
    <w:p w14:paraId="5E441C34" w14:textId="77777777" w:rsidR="003517E4" w:rsidRPr="000F0766" w:rsidRDefault="003517E4" w:rsidP="006F3822">
      <w:pPr>
        <w:tabs>
          <w:tab w:val="left" w:pos="360"/>
        </w:tabs>
        <w:spacing w:line="360" w:lineRule="auto"/>
        <w:ind w:left="360"/>
        <w:rPr>
          <w:rFonts w:cs="Arial"/>
          <w:szCs w:val="22"/>
        </w:rPr>
      </w:pPr>
    </w:p>
    <w:p w14:paraId="5E441C35" w14:textId="77777777" w:rsidR="003517E4" w:rsidRPr="00674F6A" w:rsidRDefault="003517E4" w:rsidP="006F3822">
      <w:pPr>
        <w:tabs>
          <w:tab w:val="left" w:pos="360"/>
        </w:tabs>
        <w:spacing w:line="360" w:lineRule="auto"/>
        <w:ind w:left="360" w:hanging="360"/>
        <w:rPr>
          <w:rFonts w:cs="Arial"/>
          <w:szCs w:val="22"/>
        </w:rPr>
      </w:pPr>
      <w:r w:rsidRPr="003C2C94">
        <w:rPr>
          <w:rFonts w:cs="Arial"/>
          <w:b/>
          <w:szCs w:val="22"/>
        </w:rPr>
        <w:t>3. Lawsuit Contingency</w:t>
      </w:r>
      <w:r w:rsidRPr="00674F6A">
        <w:rPr>
          <w:rFonts w:cs="Arial"/>
          <w:szCs w:val="22"/>
        </w:rPr>
        <w:t xml:space="preserve"> </w:t>
      </w:r>
    </w:p>
    <w:p w14:paraId="5E441C36" w14:textId="77777777" w:rsidR="003517E4" w:rsidRPr="006F3822" w:rsidRDefault="003517E4" w:rsidP="006F3822">
      <w:pPr>
        <w:tabs>
          <w:tab w:val="left" w:pos="360"/>
        </w:tabs>
        <w:spacing w:line="360" w:lineRule="auto"/>
        <w:ind w:left="360"/>
        <w:rPr>
          <w:rFonts w:cs="Arial"/>
          <w:szCs w:val="22"/>
        </w:rPr>
      </w:pPr>
      <w:r w:rsidRPr="006F3822">
        <w:rPr>
          <w:rFonts w:cs="Arial"/>
          <w:szCs w:val="22"/>
        </w:rPr>
        <w:t xml:space="preserve">Minimum interim disclosures require that any changes from year-end regarding the existence, likelihood, or amounts of contingencies are to be disclosed. </w:t>
      </w:r>
    </w:p>
    <w:p w14:paraId="5E441C37" w14:textId="77777777" w:rsidR="003517E4" w:rsidRPr="006F3822" w:rsidRDefault="003517E4" w:rsidP="006F3822">
      <w:pPr>
        <w:tabs>
          <w:tab w:val="left" w:pos="360"/>
        </w:tabs>
        <w:spacing w:line="360" w:lineRule="auto"/>
        <w:ind w:left="360"/>
        <w:rPr>
          <w:rFonts w:cs="Arial"/>
          <w:szCs w:val="22"/>
        </w:rPr>
      </w:pPr>
      <w:r w:rsidRPr="006F3822">
        <w:rPr>
          <w:rFonts w:cs="Arial"/>
          <w:szCs w:val="22"/>
        </w:rPr>
        <w:t xml:space="preserve">Section 3290 requires that a contingent loss be accrued when its occurrence is likely and the loss can be reasonably estimated. If the occurrence is unknown or the estimate not determinable, the loss is only required to be disclosed. </w:t>
      </w:r>
    </w:p>
    <w:p w14:paraId="5E441C38" w14:textId="77777777" w:rsidR="003517E4" w:rsidRPr="006F3822" w:rsidRDefault="003517E4" w:rsidP="006F3822">
      <w:pPr>
        <w:tabs>
          <w:tab w:val="left" w:pos="360"/>
        </w:tabs>
        <w:spacing w:line="360" w:lineRule="auto"/>
        <w:ind w:left="360"/>
        <w:rPr>
          <w:rFonts w:cs="Arial"/>
          <w:szCs w:val="22"/>
        </w:rPr>
      </w:pPr>
      <w:r w:rsidRPr="006F3822">
        <w:rPr>
          <w:rFonts w:cs="Arial"/>
          <w:szCs w:val="22"/>
        </w:rPr>
        <w:t xml:space="preserve">The supplier that is suing us is claiming for damages as well as loss of revenue in the amount of approximately $800,000. Based on the documentation, GPL’s legal counsel </w:t>
      </w:r>
      <w:r w:rsidRPr="006F3822">
        <w:rPr>
          <w:rFonts w:cs="Arial"/>
          <w:szCs w:val="22"/>
        </w:rPr>
        <w:lastRenderedPageBreak/>
        <w:t xml:space="preserve">thinks the chance we will lose is just over 75%. If we lose, legal believes GPL will have to pay the full claim. Since we believe the court proceedings will be resolved by the end of the fiscal year, we have accrued $150,000 (25% of our probability estimate) so that $600,000 is accrued by year-end. </w:t>
      </w:r>
    </w:p>
    <w:p w14:paraId="5E441C39" w14:textId="77777777" w:rsidR="003517E4" w:rsidRPr="006F3822" w:rsidRDefault="003517E4" w:rsidP="006F3822">
      <w:pPr>
        <w:tabs>
          <w:tab w:val="left" w:pos="360"/>
        </w:tabs>
        <w:spacing w:line="360" w:lineRule="auto"/>
        <w:ind w:left="360"/>
        <w:rPr>
          <w:rFonts w:cs="Arial"/>
          <w:szCs w:val="22"/>
        </w:rPr>
      </w:pPr>
      <w:r w:rsidRPr="006F3822">
        <w:rPr>
          <w:rFonts w:cs="Arial"/>
          <w:szCs w:val="22"/>
        </w:rPr>
        <w:t xml:space="preserve">The outcome appears to be likely at this time, since “likely” is often interpreted as greater than 70% by the accounting profession. Because the occurrence is determinable, the entire potential legal claim should be accrued. Therefore, there is an error in the interim financial statement — the full estimate of $800,000 should be accrued, rather than $150,000 or the $600,000 GPL intended to have accrued by year-end. Expenses cannot be smoothed to build up the accrued year-end amount. </w:t>
      </w:r>
    </w:p>
    <w:p w14:paraId="5E441C3A" w14:textId="1282535D" w:rsidR="003517E4" w:rsidRPr="006F3822" w:rsidRDefault="003517E4" w:rsidP="006F3822">
      <w:pPr>
        <w:spacing w:line="360" w:lineRule="auto"/>
        <w:rPr>
          <w:rFonts w:cs="Arial"/>
          <w:szCs w:val="22"/>
        </w:rPr>
      </w:pPr>
      <w:r w:rsidRPr="006F3822">
        <w:rPr>
          <w:rFonts w:cs="Arial"/>
          <w:b/>
          <w:szCs w:val="22"/>
        </w:rPr>
        <w:t xml:space="preserve">4. </w:t>
      </w:r>
      <w:r w:rsidR="00A84D4B">
        <w:rPr>
          <w:rFonts w:cs="Arial"/>
          <w:b/>
          <w:szCs w:val="22"/>
        </w:rPr>
        <w:t>Unusual</w:t>
      </w:r>
      <w:r w:rsidRPr="006F3822">
        <w:rPr>
          <w:rFonts w:cs="Arial"/>
          <w:b/>
          <w:szCs w:val="22"/>
        </w:rPr>
        <w:t xml:space="preserve"> Item</w:t>
      </w:r>
      <w:r w:rsidRPr="006F3822">
        <w:rPr>
          <w:rFonts w:cs="Arial"/>
          <w:szCs w:val="22"/>
        </w:rPr>
        <w:t xml:space="preserve"> </w:t>
      </w:r>
    </w:p>
    <w:p w14:paraId="5E441C3B" w14:textId="2CC4D2CE" w:rsidR="003517E4" w:rsidRPr="006F3822" w:rsidRDefault="003517E4" w:rsidP="006F3822">
      <w:pPr>
        <w:spacing w:line="360" w:lineRule="auto"/>
        <w:ind w:left="360"/>
        <w:rPr>
          <w:rFonts w:cs="Arial"/>
          <w:szCs w:val="22"/>
        </w:rPr>
      </w:pPr>
      <w:r w:rsidRPr="006F3822">
        <w:rPr>
          <w:rFonts w:cs="Arial"/>
          <w:szCs w:val="22"/>
        </w:rPr>
        <w:t>Under both ASPE and IFRS, the</w:t>
      </w:r>
      <w:r w:rsidR="00A84D4B">
        <w:rPr>
          <w:rFonts w:cs="Arial"/>
          <w:szCs w:val="22"/>
        </w:rPr>
        <w:t xml:space="preserve"> loss due to fi</w:t>
      </w:r>
      <w:r w:rsidRPr="006F3822">
        <w:rPr>
          <w:rFonts w:cs="Arial"/>
          <w:szCs w:val="22"/>
        </w:rPr>
        <w:t xml:space="preserve">re </w:t>
      </w:r>
      <w:r w:rsidR="00A84D4B">
        <w:rPr>
          <w:rFonts w:cs="Arial"/>
          <w:szCs w:val="22"/>
        </w:rPr>
        <w:t>is correctly shown as a separate line item on the income statement.</w:t>
      </w:r>
      <w:r w:rsidRPr="006F3822">
        <w:rPr>
          <w:rFonts w:cs="Arial"/>
          <w:szCs w:val="22"/>
        </w:rPr>
        <w:t xml:space="preserve"> Paragraph 87 of IAS 1 states: </w:t>
      </w:r>
      <w:r w:rsidRPr="006F3822">
        <w:rPr>
          <w:rFonts w:cs="Arial"/>
          <w:i/>
          <w:szCs w:val="22"/>
        </w:rPr>
        <w:t xml:space="preserve">“An entity shall not present any items of income or expense as extraordinary items, in the statement of comprehensive income or the separate income statement (if presented), or in the notes.” </w:t>
      </w:r>
      <w:r w:rsidRPr="006F3822">
        <w:rPr>
          <w:rFonts w:cs="Arial"/>
          <w:szCs w:val="22"/>
        </w:rPr>
        <w:t xml:space="preserve">Instead, IFRS encourages companies to adjust the line items of the financial statements to provide readers with the information. IAS 1 Paragraph 85 states: </w:t>
      </w:r>
      <w:r w:rsidRPr="006F3822">
        <w:rPr>
          <w:rFonts w:cs="Arial"/>
          <w:i/>
          <w:szCs w:val="22"/>
        </w:rPr>
        <w:t>“An entity shall present additional line items, headings and subtotals in the statement of comprehensive income and the separate income statement (if presented), when such presentation is relevant to an understanding of the entity’s financial performance.”</w:t>
      </w:r>
      <w:r w:rsidRPr="006F3822">
        <w:rPr>
          <w:rFonts w:cs="Arial"/>
          <w:szCs w:val="22"/>
        </w:rPr>
        <w:t xml:space="preserve"> </w:t>
      </w:r>
    </w:p>
    <w:p w14:paraId="671A889A" w14:textId="146FCBD9" w:rsidR="00A84D4B" w:rsidRPr="00E97257" w:rsidRDefault="00E97257" w:rsidP="006F3822">
      <w:pPr>
        <w:spacing w:line="360" w:lineRule="auto"/>
        <w:ind w:left="360"/>
        <w:rPr>
          <w:rFonts w:cs="Arial"/>
          <w:szCs w:val="22"/>
        </w:rPr>
      </w:pPr>
      <w:r>
        <w:rPr>
          <w:rFonts w:cs="Arial"/>
          <w:szCs w:val="22"/>
        </w:rPr>
        <w:t>P</w:t>
      </w:r>
      <w:r w:rsidR="00A84D4B">
        <w:rPr>
          <w:rFonts w:cs="Arial"/>
          <w:szCs w:val="22"/>
        </w:rPr>
        <w:t xml:space="preserve">aragraph </w:t>
      </w:r>
      <w:r>
        <w:rPr>
          <w:rFonts w:cs="Arial"/>
          <w:szCs w:val="22"/>
        </w:rPr>
        <w:t xml:space="preserve">04(m) of </w:t>
      </w:r>
      <w:r w:rsidR="00A84D4B">
        <w:rPr>
          <w:rFonts w:cs="Arial"/>
          <w:szCs w:val="22"/>
        </w:rPr>
        <w:t xml:space="preserve">Section 1520 </w:t>
      </w:r>
      <w:r w:rsidR="00A84D4B">
        <w:rPr>
          <w:rFonts w:cs="Arial"/>
          <w:i/>
          <w:szCs w:val="22"/>
        </w:rPr>
        <w:t>Income Statement</w:t>
      </w:r>
      <w:r>
        <w:rPr>
          <w:rFonts w:cs="Arial"/>
          <w:i/>
          <w:szCs w:val="22"/>
        </w:rPr>
        <w:t xml:space="preserve"> </w:t>
      </w:r>
      <w:r>
        <w:rPr>
          <w:rFonts w:cs="Arial"/>
          <w:szCs w:val="22"/>
        </w:rPr>
        <w:t>requires that</w:t>
      </w:r>
      <w:r w:rsidRPr="00E97257">
        <w:rPr>
          <w:rFonts w:cs="Arial"/>
          <w:szCs w:val="22"/>
        </w:rPr>
        <w:t xml:space="preserve"> </w:t>
      </w:r>
      <w:r w:rsidRPr="008620BB">
        <w:rPr>
          <w:rFonts w:cs="Arial"/>
          <w:iCs/>
          <w:color w:val="444444"/>
          <w:sz w:val="21"/>
          <w:szCs w:val="21"/>
          <w:shd w:val="clear" w:color="auto" w:fill="FFFFFF"/>
        </w:rPr>
        <w:t>Revenue, expenses, gains or losses resulting from transactions or events that are not expected to occur frequently over several years, or do not typify normal business activities of the entity</w:t>
      </w:r>
      <w:r w:rsidRPr="00E97257">
        <w:rPr>
          <w:rFonts w:cs="Arial"/>
          <w:color w:val="444444"/>
          <w:sz w:val="21"/>
          <w:szCs w:val="21"/>
          <w:shd w:val="clear" w:color="auto" w:fill="FFFFFF"/>
        </w:rPr>
        <w:t> </w:t>
      </w:r>
      <w:r>
        <w:rPr>
          <w:rFonts w:cs="Arial"/>
          <w:color w:val="444444"/>
          <w:sz w:val="21"/>
          <w:szCs w:val="21"/>
          <w:shd w:val="clear" w:color="auto" w:fill="FFFFFF"/>
        </w:rPr>
        <w:t>should be shown separately on the face of the income statement or disclosed in the notes to the financial statements.</w:t>
      </w:r>
    </w:p>
    <w:p w14:paraId="5E441C3D" w14:textId="77777777" w:rsidR="003517E4" w:rsidRPr="006F3822" w:rsidRDefault="003517E4" w:rsidP="006F3822">
      <w:pPr>
        <w:tabs>
          <w:tab w:val="left" w:pos="360"/>
        </w:tabs>
        <w:spacing w:line="360" w:lineRule="auto"/>
        <w:ind w:left="360" w:hanging="360"/>
        <w:rPr>
          <w:rFonts w:cs="Arial"/>
          <w:b/>
          <w:szCs w:val="22"/>
        </w:rPr>
      </w:pPr>
    </w:p>
    <w:p w14:paraId="5E441C3E" w14:textId="77777777" w:rsidR="003517E4" w:rsidRPr="006F3822" w:rsidRDefault="003517E4" w:rsidP="006F3822">
      <w:pPr>
        <w:tabs>
          <w:tab w:val="left" w:pos="360"/>
        </w:tabs>
        <w:spacing w:line="360" w:lineRule="auto"/>
        <w:ind w:left="360" w:hanging="360"/>
        <w:rPr>
          <w:rFonts w:cs="Arial"/>
          <w:szCs w:val="22"/>
        </w:rPr>
      </w:pPr>
      <w:r w:rsidRPr="006F3822">
        <w:rPr>
          <w:rFonts w:cs="Arial"/>
          <w:b/>
          <w:szCs w:val="22"/>
        </w:rPr>
        <w:t>5. Interim Financial Reporting Disclosures</w:t>
      </w:r>
      <w:r w:rsidRPr="006F3822">
        <w:rPr>
          <w:rFonts w:cs="Arial"/>
          <w:szCs w:val="22"/>
        </w:rPr>
        <w:t xml:space="preserve"> </w:t>
      </w:r>
    </w:p>
    <w:p w14:paraId="5E441C3F" w14:textId="77777777" w:rsidR="003517E4" w:rsidRPr="006F3822" w:rsidRDefault="003517E4" w:rsidP="006F3822">
      <w:pPr>
        <w:tabs>
          <w:tab w:val="left" w:pos="360"/>
        </w:tabs>
        <w:spacing w:line="360" w:lineRule="auto"/>
        <w:ind w:left="360"/>
        <w:rPr>
          <w:rFonts w:cs="Arial"/>
          <w:szCs w:val="22"/>
        </w:rPr>
      </w:pPr>
      <w:r w:rsidRPr="006F3822">
        <w:rPr>
          <w:rFonts w:cs="Arial"/>
          <w:szCs w:val="22"/>
        </w:rPr>
        <w:t xml:space="preserve">Since there is no Handbook section for Interim Reporting under ASPE, there are no explicit requirements for note disclosure for the quarterly financial statements. </w:t>
      </w:r>
    </w:p>
    <w:p w14:paraId="5E441C40" w14:textId="77777777" w:rsidR="003517E4" w:rsidRPr="006F3822" w:rsidRDefault="003517E4" w:rsidP="006F3822">
      <w:pPr>
        <w:tabs>
          <w:tab w:val="left" w:pos="360"/>
        </w:tabs>
        <w:spacing w:line="360" w:lineRule="auto"/>
        <w:ind w:left="360"/>
        <w:rPr>
          <w:rFonts w:cs="Arial"/>
          <w:szCs w:val="22"/>
        </w:rPr>
      </w:pPr>
    </w:p>
    <w:p w14:paraId="5E441C41" w14:textId="77777777" w:rsidR="003517E4" w:rsidRPr="006F3822" w:rsidRDefault="003517E4" w:rsidP="006F3822">
      <w:pPr>
        <w:spacing w:line="360" w:lineRule="auto"/>
        <w:rPr>
          <w:rFonts w:cs="Arial"/>
          <w:b/>
          <w:szCs w:val="22"/>
        </w:rPr>
      </w:pPr>
      <w:r w:rsidRPr="006F3822">
        <w:rPr>
          <w:rFonts w:cs="Arial"/>
          <w:b/>
          <w:szCs w:val="22"/>
        </w:rPr>
        <w:t xml:space="preserve">A comparison of ASPE and IFRS for any other GPL policies </w:t>
      </w:r>
    </w:p>
    <w:p w14:paraId="5E441C42" w14:textId="77777777" w:rsidR="003517E4" w:rsidRPr="006F3822" w:rsidRDefault="003517E4" w:rsidP="006F3822">
      <w:pPr>
        <w:spacing w:line="360" w:lineRule="auto"/>
        <w:rPr>
          <w:rFonts w:cs="Arial"/>
          <w:b/>
          <w:szCs w:val="22"/>
        </w:rPr>
      </w:pPr>
    </w:p>
    <w:p w14:paraId="5E441C43" w14:textId="77777777" w:rsidR="003517E4" w:rsidRPr="006F3822" w:rsidRDefault="003517E4" w:rsidP="006F3822">
      <w:pPr>
        <w:spacing w:line="360" w:lineRule="auto"/>
        <w:rPr>
          <w:rFonts w:cs="Arial"/>
          <w:szCs w:val="22"/>
        </w:rPr>
      </w:pPr>
      <w:r w:rsidRPr="006F3822">
        <w:rPr>
          <w:rFonts w:cs="Arial"/>
          <w:b/>
          <w:szCs w:val="22"/>
        </w:rPr>
        <w:t>Asset Impairment</w:t>
      </w:r>
      <w:r w:rsidRPr="006F3822">
        <w:rPr>
          <w:rFonts w:cs="Arial"/>
          <w:szCs w:val="22"/>
        </w:rPr>
        <w:t xml:space="preserve"> </w:t>
      </w:r>
    </w:p>
    <w:p w14:paraId="5E441C44" w14:textId="77777777" w:rsidR="003517E4" w:rsidRPr="006F3822" w:rsidRDefault="003517E4" w:rsidP="006F3822">
      <w:pPr>
        <w:spacing w:line="360" w:lineRule="auto"/>
        <w:rPr>
          <w:rFonts w:cs="Arial"/>
          <w:szCs w:val="22"/>
        </w:rPr>
      </w:pPr>
      <w:r w:rsidRPr="006F3822">
        <w:rPr>
          <w:rFonts w:cs="Arial"/>
          <w:szCs w:val="22"/>
        </w:rPr>
        <w:t xml:space="preserve">Let me begin with a discussion of how our quarterly statement would be affected if we applied IAS 36 rather than Section 3063 on Impairment of long-lived assets, which currently applies to </w:t>
      </w:r>
      <w:r w:rsidRPr="006F3822">
        <w:rPr>
          <w:rFonts w:cs="Arial"/>
          <w:szCs w:val="22"/>
        </w:rPr>
        <w:lastRenderedPageBreak/>
        <w:t xml:space="preserve">us. First, let me explain in very general terms what the requirements are under both sets of standards. </w:t>
      </w:r>
    </w:p>
    <w:p w14:paraId="5E441C45" w14:textId="77777777" w:rsidR="003517E4" w:rsidRPr="006F3822" w:rsidRDefault="003517E4" w:rsidP="006F3822">
      <w:pPr>
        <w:pStyle w:val="ListParagraph"/>
        <w:numPr>
          <w:ilvl w:val="0"/>
          <w:numId w:val="55"/>
        </w:numPr>
        <w:spacing w:line="360" w:lineRule="auto"/>
        <w:ind w:left="360"/>
        <w:rPr>
          <w:rFonts w:cs="Arial"/>
          <w:szCs w:val="22"/>
        </w:rPr>
      </w:pPr>
      <w:r w:rsidRPr="006F3822">
        <w:rPr>
          <w:rFonts w:cs="Arial"/>
          <w:szCs w:val="22"/>
        </w:rPr>
        <w:t xml:space="preserve">Under ASPE, we must test for impairment when there is an indication or “triggering event” that leads us to question the carrying amount of the asset. However, the requirement for when to test is more passive than under IFRS. Section 3063 first compares the carrying value to the recoverable amount, which is undiscounted future cash flows. If the carrying value exceeds the recoverable amount, an impairment loss is computed as the difference between the carrying amount and fair value, and there is no reversal of impairment losses. </w:t>
      </w:r>
    </w:p>
    <w:p w14:paraId="5E441C46" w14:textId="77777777" w:rsidR="003517E4" w:rsidRPr="006F3822" w:rsidRDefault="003517E4" w:rsidP="006F3822">
      <w:pPr>
        <w:pStyle w:val="ListParagraph"/>
        <w:numPr>
          <w:ilvl w:val="0"/>
          <w:numId w:val="55"/>
        </w:numPr>
        <w:spacing w:line="360" w:lineRule="auto"/>
        <w:ind w:left="360"/>
        <w:rPr>
          <w:rFonts w:cs="Arial"/>
          <w:szCs w:val="22"/>
        </w:rPr>
      </w:pPr>
      <w:r w:rsidRPr="006F3822">
        <w:rPr>
          <w:rFonts w:cs="Arial"/>
          <w:szCs w:val="22"/>
        </w:rPr>
        <w:t xml:space="preserve">IFRS requires impairment indicators to be assessed at each reporting date. IAS 36 computes impairment loss as the excess of carrying amount above the recoverable amount (higher of fair value less costs to sell and value in use), and the loss must be reversed if there has been a change in estimates used to determine the recoverable amount since the last impairment loss was recognized. </w:t>
      </w:r>
    </w:p>
    <w:p w14:paraId="5E441C47" w14:textId="77777777" w:rsidR="003517E4" w:rsidRPr="006F3822" w:rsidRDefault="003517E4" w:rsidP="006F3822">
      <w:pPr>
        <w:spacing w:line="360" w:lineRule="auto"/>
        <w:rPr>
          <w:rFonts w:cs="Arial"/>
          <w:szCs w:val="22"/>
        </w:rPr>
      </w:pPr>
      <w:r w:rsidRPr="006F3822">
        <w:rPr>
          <w:rFonts w:cs="Arial"/>
          <w:szCs w:val="22"/>
        </w:rPr>
        <w:t xml:space="preserve">Essentially, Section 3063 differs from IAS 36 in that IAS 36 </w:t>
      </w:r>
    </w:p>
    <w:p w14:paraId="5E441C48" w14:textId="77777777" w:rsidR="003517E4" w:rsidRPr="006F3822" w:rsidRDefault="003517E4" w:rsidP="006F3822">
      <w:pPr>
        <w:pStyle w:val="ListParagraph"/>
        <w:numPr>
          <w:ilvl w:val="0"/>
          <w:numId w:val="56"/>
        </w:numPr>
        <w:spacing w:line="360" w:lineRule="auto"/>
        <w:ind w:left="360"/>
        <w:rPr>
          <w:rFonts w:cs="Arial"/>
          <w:szCs w:val="22"/>
        </w:rPr>
      </w:pPr>
      <w:r w:rsidRPr="006F3822">
        <w:rPr>
          <w:rFonts w:cs="Arial"/>
          <w:szCs w:val="22"/>
        </w:rPr>
        <w:t xml:space="preserve">does not include a separate trigger for recognizing impairment losses based on an assessment of undiscounted cash flows; </w:t>
      </w:r>
    </w:p>
    <w:p w14:paraId="5E441C49" w14:textId="77777777" w:rsidR="003517E4" w:rsidRPr="006F3822" w:rsidRDefault="003517E4" w:rsidP="006F3822">
      <w:pPr>
        <w:pStyle w:val="ListParagraph"/>
        <w:numPr>
          <w:ilvl w:val="0"/>
          <w:numId w:val="56"/>
        </w:numPr>
        <w:spacing w:line="360" w:lineRule="auto"/>
        <w:ind w:left="360"/>
        <w:rPr>
          <w:rFonts w:cs="Arial"/>
          <w:szCs w:val="22"/>
        </w:rPr>
      </w:pPr>
      <w:r w:rsidRPr="006F3822">
        <w:rPr>
          <w:rFonts w:cs="Arial"/>
          <w:szCs w:val="22"/>
        </w:rPr>
        <w:t xml:space="preserve">determines an impairment loss as the excess of the carrying amount of an asset or group of assets above the recoverable amount (the higher of fair value less costs to sell and value in use), rather than the difference between carrying amount and fair value; and </w:t>
      </w:r>
    </w:p>
    <w:p w14:paraId="5E441C4A" w14:textId="77777777" w:rsidR="003517E4" w:rsidRPr="006F3822" w:rsidRDefault="003517E4" w:rsidP="006F3822">
      <w:pPr>
        <w:pStyle w:val="ListParagraph"/>
        <w:numPr>
          <w:ilvl w:val="0"/>
          <w:numId w:val="56"/>
        </w:numPr>
        <w:spacing w:line="360" w:lineRule="auto"/>
        <w:ind w:left="360"/>
        <w:rPr>
          <w:rFonts w:cs="Arial"/>
          <w:szCs w:val="22"/>
        </w:rPr>
      </w:pPr>
      <w:r w:rsidRPr="006F3822">
        <w:rPr>
          <w:rFonts w:cs="Arial"/>
          <w:szCs w:val="22"/>
        </w:rPr>
        <w:t xml:space="preserve">requires the reversal of an impairment loss when there has been a change in estimates used to determine the recoverable amount. </w:t>
      </w:r>
    </w:p>
    <w:p w14:paraId="5E441C4B" w14:textId="77777777" w:rsidR="003517E4" w:rsidRPr="006F3822" w:rsidRDefault="003517E4" w:rsidP="006F3822">
      <w:pPr>
        <w:spacing w:line="360" w:lineRule="auto"/>
        <w:rPr>
          <w:rFonts w:cs="Arial"/>
          <w:szCs w:val="22"/>
        </w:rPr>
      </w:pPr>
      <w:r w:rsidRPr="006F3822">
        <w:rPr>
          <w:rFonts w:cs="Arial"/>
          <w:szCs w:val="22"/>
        </w:rPr>
        <w:t xml:space="preserve">Since you think you have located the critical part needed to make the manufacturing equipment serviceable again, you might have an opportunity to reverse the impairment loss recorded at year-end (to the extent of the impairment amount less depreciation taken in the year). </w:t>
      </w:r>
    </w:p>
    <w:p w14:paraId="5E441C4C" w14:textId="77777777" w:rsidR="003517E4" w:rsidRPr="006F3822" w:rsidRDefault="003517E4" w:rsidP="006F3822">
      <w:pPr>
        <w:spacing w:line="360" w:lineRule="auto"/>
        <w:rPr>
          <w:rFonts w:cs="Arial"/>
          <w:szCs w:val="22"/>
        </w:rPr>
      </w:pPr>
      <w:r w:rsidRPr="006F3822">
        <w:rPr>
          <w:rFonts w:cs="Arial"/>
          <w:szCs w:val="22"/>
        </w:rPr>
        <w:t xml:space="preserve">Based on the differences between the two sets of standards, our first quarter statement would have required us to assess the recoverable amount associated with the piece of equipment (assuming that it is a cash-generating unit on its own — I won’t go into detail on cash-generating units at this point), and to then reverse the impairment loss of $160,000 we recorded (or part of it) to better reflect the estimated value of the equipment. Under Handbook Section 3063, we are not allowed to write an asset up again once it has been written down. </w:t>
      </w:r>
    </w:p>
    <w:p w14:paraId="5E441C4D" w14:textId="77777777" w:rsidR="003517E4" w:rsidRPr="006F3822" w:rsidRDefault="003517E4" w:rsidP="006F3822">
      <w:pPr>
        <w:spacing w:line="360" w:lineRule="auto"/>
        <w:rPr>
          <w:rFonts w:cs="Arial"/>
          <w:szCs w:val="22"/>
        </w:rPr>
      </w:pPr>
    </w:p>
    <w:p w14:paraId="5E441C4E" w14:textId="77777777" w:rsidR="003517E4" w:rsidRPr="006F3822" w:rsidRDefault="003517E4" w:rsidP="006F3822">
      <w:pPr>
        <w:spacing w:line="360" w:lineRule="auto"/>
        <w:rPr>
          <w:rFonts w:cs="Arial"/>
          <w:szCs w:val="22"/>
        </w:rPr>
      </w:pPr>
      <w:r w:rsidRPr="006F3822">
        <w:rPr>
          <w:rFonts w:cs="Arial"/>
          <w:b/>
          <w:szCs w:val="22"/>
        </w:rPr>
        <w:t>Property, Plant and Equipment (PPE)</w:t>
      </w:r>
      <w:r w:rsidRPr="006F3822">
        <w:rPr>
          <w:rFonts w:cs="Arial"/>
          <w:szCs w:val="22"/>
        </w:rPr>
        <w:t xml:space="preserve"> </w:t>
      </w:r>
    </w:p>
    <w:p w14:paraId="5E441C4F" w14:textId="77777777" w:rsidR="003517E4" w:rsidRPr="006F3822" w:rsidRDefault="003517E4" w:rsidP="006F3822">
      <w:pPr>
        <w:spacing w:line="360" w:lineRule="auto"/>
        <w:rPr>
          <w:rFonts w:cs="Arial"/>
          <w:szCs w:val="22"/>
        </w:rPr>
      </w:pPr>
      <w:r w:rsidRPr="006F3822">
        <w:rPr>
          <w:rFonts w:cs="Arial"/>
          <w:szCs w:val="22"/>
        </w:rPr>
        <w:t xml:space="preserve">Another area in which there are differences between ASPE and IFRS is property, plant and equipment. Because GPL is a manufacturer and has significant value in capital assets, as </w:t>
      </w:r>
      <w:r w:rsidRPr="006F3822">
        <w:rPr>
          <w:rFonts w:cs="Arial"/>
          <w:szCs w:val="22"/>
        </w:rPr>
        <w:lastRenderedPageBreak/>
        <w:t xml:space="preserve">shown on the balance sheet, this is an area that could have a large impact when the transition to IFRS occurs. </w:t>
      </w:r>
    </w:p>
    <w:p w14:paraId="5E441C50" w14:textId="08F690C3" w:rsidR="003517E4" w:rsidRPr="006F3822" w:rsidRDefault="003517E4" w:rsidP="006F3822">
      <w:pPr>
        <w:spacing w:line="360" w:lineRule="auto"/>
        <w:rPr>
          <w:rFonts w:cs="Arial"/>
          <w:szCs w:val="22"/>
        </w:rPr>
      </w:pPr>
      <w:r w:rsidRPr="006F3822">
        <w:rPr>
          <w:rFonts w:cs="Arial"/>
          <w:szCs w:val="22"/>
        </w:rPr>
        <w:t xml:space="preserve">Under ASPE, an entity is required to carry PPE on a cost basis. Revaluation is prohibited under Section 3061. Under IAS 16, GPL could continue to carry PPE at cost, or it could choose to revalue capital assets and carry them at fair value (less depreciation). When revaluation is used, it must be applied to entire classes of assets and it needs to be reassessed regularly. There are also additional disclosure considerations under IFRS that are not required under ASPE, such as a reconciliation of the carrying amount of each class of property for the year; contractual commitments for the purchase of PPE; measurement basis; and restrictions on title to assets. A transition to IFRS (if the revaluation method was chosen) would result in additional work in order to determine the fair value with sufficient regularity to ensure the carrying amount does not differ materially from the fair value. </w:t>
      </w:r>
    </w:p>
    <w:p w14:paraId="5E441C52" w14:textId="77777777" w:rsidR="003517E4" w:rsidRPr="006F3822" w:rsidRDefault="003517E4" w:rsidP="006F3822">
      <w:pPr>
        <w:spacing w:line="360" w:lineRule="auto"/>
        <w:rPr>
          <w:rFonts w:cs="Arial"/>
          <w:szCs w:val="22"/>
        </w:rPr>
      </w:pPr>
      <w:r w:rsidRPr="006F3822">
        <w:rPr>
          <w:rFonts w:cs="Arial"/>
          <w:szCs w:val="22"/>
        </w:rPr>
        <w:t xml:space="preserve">Under IFRS, amortization of PPE is calculated on the cost less residual value, over the useful life of the asset, including any idle period. Under ASPE, amortization is based on the greater of this amount or the asset cost less the salvage value, over the life of the asset. This could have an impact on the amortization recorded on the income statement. The capabilities of the capital asset software would have to be examined to determine whether it can handle the additional tracking of components and the related amortization. </w:t>
      </w:r>
    </w:p>
    <w:p w14:paraId="5E441C53" w14:textId="77777777" w:rsidR="003517E4" w:rsidRPr="006F3822" w:rsidRDefault="003517E4" w:rsidP="006F3822">
      <w:pPr>
        <w:spacing w:line="360" w:lineRule="auto"/>
        <w:rPr>
          <w:rFonts w:cs="Arial"/>
          <w:szCs w:val="22"/>
        </w:rPr>
      </w:pPr>
    </w:p>
    <w:p w14:paraId="5E441C54" w14:textId="77777777" w:rsidR="003517E4" w:rsidRPr="006F3822" w:rsidRDefault="003517E4" w:rsidP="006F3822">
      <w:pPr>
        <w:spacing w:line="360" w:lineRule="auto"/>
        <w:rPr>
          <w:rFonts w:cs="Arial"/>
          <w:b/>
          <w:szCs w:val="22"/>
        </w:rPr>
      </w:pPr>
      <w:r w:rsidRPr="006F3822">
        <w:rPr>
          <w:rFonts w:cs="Arial"/>
          <w:b/>
          <w:szCs w:val="22"/>
        </w:rPr>
        <w:t xml:space="preserve">Earnings Per Share (EPS) </w:t>
      </w:r>
    </w:p>
    <w:p w14:paraId="5E441C55" w14:textId="77777777" w:rsidR="003517E4" w:rsidRPr="006F3822" w:rsidRDefault="003517E4" w:rsidP="006F3822">
      <w:pPr>
        <w:spacing w:line="360" w:lineRule="auto"/>
        <w:rPr>
          <w:rFonts w:cs="Arial"/>
          <w:b/>
          <w:szCs w:val="22"/>
        </w:rPr>
      </w:pPr>
    </w:p>
    <w:p w14:paraId="5E441C56" w14:textId="77777777" w:rsidR="003517E4" w:rsidRPr="006F3822" w:rsidRDefault="003517E4" w:rsidP="006F3822">
      <w:pPr>
        <w:spacing w:line="360" w:lineRule="auto"/>
        <w:rPr>
          <w:rFonts w:cs="Arial"/>
          <w:szCs w:val="22"/>
        </w:rPr>
      </w:pPr>
      <w:r w:rsidRPr="006F3822">
        <w:rPr>
          <w:rFonts w:cs="Arial"/>
          <w:szCs w:val="22"/>
        </w:rPr>
        <w:t xml:space="preserve">Under IFRS, basic and fully diluted EPS would need to be reported for the current period and comparative period. EPS information is not required to be disclosed under ASPE. </w:t>
      </w:r>
    </w:p>
    <w:p w14:paraId="5E441C57" w14:textId="77777777" w:rsidR="003517E4" w:rsidRPr="006F3822" w:rsidRDefault="003517E4" w:rsidP="006F3822">
      <w:pPr>
        <w:spacing w:line="360" w:lineRule="auto"/>
        <w:rPr>
          <w:rFonts w:cs="Arial"/>
          <w:szCs w:val="22"/>
        </w:rPr>
      </w:pPr>
    </w:p>
    <w:p w14:paraId="5E441C58" w14:textId="77777777" w:rsidR="003517E4" w:rsidRPr="006F3822" w:rsidRDefault="003517E4" w:rsidP="006F3822">
      <w:pPr>
        <w:spacing w:line="360" w:lineRule="auto"/>
        <w:rPr>
          <w:rFonts w:cs="Arial"/>
          <w:b/>
          <w:szCs w:val="22"/>
        </w:rPr>
      </w:pPr>
      <w:r w:rsidRPr="006F3822">
        <w:rPr>
          <w:rFonts w:cs="Arial"/>
          <w:b/>
          <w:szCs w:val="22"/>
        </w:rPr>
        <w:t>Changeover to IFRS</w:t>
      </w:r>
    </w:p>
    <w:p w14:paraId="5E441C59" w14:textId="77777777" w:rsidR="003517E4" w:rsidRPr="006F3822" w:rsidRDefault="003517E4" w:rsidP="006F3822">
      <w:pPr>
        <w:tabs>
          <w:tab w:val="left" w:pos="360"/>
        </w:tabs>
        <w:spacing w:line="360" w:lineRule="auto"/>
        <w:rPr>
          <w:rFonts w:cs="Arial"/>
          <w:szCs w:val="22"/>
        </w:rPr>
      </w:pPr>
      <w:r w:rsidRPr="006F3822">
        <w:rPr>
          <w:rFonts w:cs="Arial"/>
          <w:szCs w:val="22"/>
        </w:rPr>
        <w:t xml:space="preserve">In your email to me, you said that you don’t imagine the transition to IFRS will have much of an impact on GPL. Based on my assessment of the control work that is required and my belief that the transition to IFRS is a large project, I think you need to give immediate consideration to how GPL plans to manage the transition to IFRS. </w:t>
      </w:r>
    </w:p>
    <w:p w14:paraId="5E441C5A" w14:textId="77777777" w:rsidR="003517E4" w:rsidRPr="006F3822" w:rsidRDefault="003517E4" w:rsidP="006F3822">
      <w:pPr>
        <w:tabs>
          <w:tab w:val="left" w:pos="360"/>
        </w:tabs>
        <w:spacing w:line="360" w:lineRule="auto"/>
        <w:rPr>
          <w:rFonts w:cs="Arial"/>
          <w:szCs w:val="22"/>
        </w:rPr>
      </w:pPr>
    </w:p>
    <w:p w14:paraId="5E441C5B" w14:textId="77777777" w:rsidR="003517E4" w:rsidRPr="006F3822" w:rsidRDefault="003517E4" w:rsidP="006F3822">
      <w:pPr>
        <w:tabs>
          <w:tab w:val="left" w:pos="360"/>
        </w:tabs>
        <w:spacing w:line="360" w:lineRule="auto"/>
        <w:rPr>
          <w:rFonts w:cs="Arial"/>
          <w:szCs w:val="22"/>
        </w:rPr>
      </w:pPr>
      <w:r w:rsidRPr="006F3822">
        <w:rPr>
          <w:rFonts w:cs="Arial"/>
          <w:szCs w:val="22"/>
        </w:rPr>
        <w:t xml:space="preserve">The following discussion points further explain my reasoning. </w:t>
      </w:r>
    </w:p>
    <w:p w14:paraId="5E441C5C" w14:textId="77777777" w:rsidR="003517E4" w:rsidRPr="006F3822" w:rsidRDefault="003517E4" w:rsidP="006F3822">
      <w:pPr>
        <w:tabs>
          <w:tab w:val="left" w:pos="360"/>
        </w:tabs>
        <w:spacing w:line="360" w:lineRule="auto"/>
        <w:rPr>
          <w:rFonts w:cs="Arial"/>
          <w:szCs w:val="22"/>
        </w:rPr>
      </w:pPr>
      <w:r w:rsidRPr="006F3822">
        <w:rPr>
          <w:rFonts w:cs="Arial"/>
          <w:szCs w:val="22"/>
        </w:rPr>
        <w:t xml:space="preserve">I believe you have underestimated the impact of adopting IFRS. There are significant implications for the changeover from ASPE to IFRS. Your statement that it shouldn’t have a big impact on GPL because we already follow ASPE is not true. The changeover to IFRS involves more than just changes in accounting policies and the composition of the financial statements. </w:t>
      </w:r>
    </w:p>
    <w:p w14:paraId="5E441C5D" w14:textId="77777777" w:rsidR="003517E4" w:rsidRPr="006F3822" w:rsidRDefault="003517E4" w:rsidP="006F3822">
      <w:pPr>
        <w:tabs>
          <w:tab w:val="left" w:pos="360"/>
        </w:tabs>
        <w:spacing w:line="360" w:lineRule="auto"/>
        <w:rPr>
          <w:rFonts w:cs="Arial"/>
          <w:szCs w:val="22"/>
        </w:rPr>
      </w:pPr>
    </w:p>
    <w:p w14:paraId="5E441C5E" w14:textId="77777777" w:rsidR="003517E4" w:rsidRPr="006F3822" w:rsidRDefault="003517E4" w:rsidP="006F3822">
      <w:pPr>
        <w:tabs>
          <w:tab w:val="left" w:pos="360"/>
        </w:tabs>
        <w:spacing w:line="360" w:lineRule="auto"/>
        <w:rPr>
          <w:rFonts w:cs="Arial"/>
          <w:szCs w:val="22"/>
        </w:rPr>
      </w:pPr>
      <w:r w:rsidRPr="006F3822">
        <w:rPr>
          <w:rFonts w:cs="Arial"/>
          <w:szCs w:val="22"/>
        </w:rPr>
        <w:t xml:space="preserve">What you seem to have failed to consider is that the changeover to IFRS will affect more than GPL’s accounting policies and the composition of financial statements. Converting to IFRS will not merely be a technical accounting exercise, but a widespread change that will affect many areas of the business. Any business function required to prepare financial information or affected by financial information will potentially need to change. </w:t>
      </w:r>
    </w:p>
    <w:p w14:paraId="5E441C5F" w14:textId="77777777" w:rsidR="003517E4" w:rsidRPr="006F3822" w:rsidRDefault="003517E4" w:rsidP="006F3822">
      <w:pPr>
        <w:tabs>
          <w:tab w:val="left" w:pos="360"/>
        </w:tabs>
        <w:spacing w:line="360" w:lineRule="auto"/>
        <w:rPr>
          <w:rFonts w:cs="Arial"/>
          <w:szCs w:val="22"/>
        </w:rPr>
      </w:pPr>
      <w:r w:rsidRPr="006F3822">
        <w:rPr>
          <w:rFonts w:cs="Arial"/>
          <w:szCs w:val="22"/>
        </w:rPr>
        <w:t xml:space="preserve">The conversion will likely affect other aspects of operations, such as </w:t>
      </w:r>
    </w:p>
    <w:p w14:paraId="5E441C60" w14:textId="77777777"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income tax calculations (taxation); </w:t>
      </w:r>
    </w:p>
    <w:p w14:paraId="5E441C61" w14:textId="77777777"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internal controls and processes (finance and other areas); </w:t>
      </w:r>
    </w:p>
    <w:p w14:paraId="5E441C62" w14:textId="77777777"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information and data systems (IT); </w:t>
      </w:r>
    </w:p>
    <w:p w14:paraId="5E441C63" w14:textId="77777777"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executive and employee compensation plans (human resources); and </w:t>
      </w:r>
    </w:p>
    <w:p w14:paraId="5E441C64" w14:textId="77777777" w:rsidR="003517E4" w:rsidRPr="006F3822" w:rsidRDefault="003517E4" w:rsidP="006F3822">
      <w:pPr>
        <w:pStyle w:val="ListParagraph"/>
        <w:numPr>
          <w:ilvl w:val="0"/>
          <w:numId w:val="57"/>
        </w:numPr>
        <w:spacing w:line="360" w:lineRule="auto"/>
        <w:ind w:left="360"/>
        <w:rPr>
          <w:rFonts w:cs="Arial"/>
          <w:szCs w:val="22"/>
        </w:rPr>
      </w:pPr>
      <w:r w:rsidRPr="006F3822">
        <w:rPr>
          <w:rFonts w:cs="Arial"/>
          <w:szCs w:val="22"/>
        </w:rPr>
        <w:t xml:space="preserve">training and resource needs (all departments). </w:t>
      </w:r>
    </w:p>
    <w:p w14:paraId="5E441C65" w14:textId="77777777" w:rsidR="003517E4" w:rsidRPr="006F3822" w:rsidRDefault="003517E4" w:rsidP="006F3822">
      <w:pPr>
        <w:spacing w:line="360" w:lineRule="auto"/>
        <w:rPr>
          <w:rFonts w:cs="Arial"/>
          <w:szCs w:val="22"/>
        </w:rPr>
      </w:pPr>
      <w:r w:rsidRPr="006F3822">
        <w:rPr>
          <w:rFonts w:cs="Arial"/>
          <w:szCs w:val="22"/>
        </w:rPr>
        <w:t xml:space="preserve">I mentioned that internal controls and processes may be affected by the change to IFRS. Changes to, and re-documentation of, internal controls may need to be made, especially relating to areas that are likely to be different. For example, taxation, financial instruments, balance sheet item valuations, and property, plant and equipment are areas that often need to be looked at closely. Revisions to disclosure controls and procedures manuals due to enhanced disclosures under IFRS may also be required. </w:t>
      </w:r>
    </w:p>
    <w:p w14:paraId="5E441C66" w14:textId="77777777" w:rsidR="003517E4" w:rsidRPr="009A50FA" w:rsidRDefault="003517E4" w:rsidP="003517E4">
      <w:pPr>
        <w:rPr>
          <w:rFonts w:cs="Arial"/>
        </w:rPr>
      </w:pPr>
    </w:p>
    <w:p w14:paraId="5E441C67" w14:textId="77777777" w:rsidR="00931CCC" w:rsidRDefault="00931CCC">
      <w:pPr>
        <w:pStyle w:val="sectitle"/>
        <w:rPr>
          <w:rFonts w:cs="Arial"/>
          <w:b w:val="0"/>
          <w:sz w:val="22"/>
          <w:szCs w:val="16"/>
        </w:rPr>
      </w:pPr>
    </w:p>
    <w:p w14:paraId="5E441C68" w14:textId="77777777" w:rsidR="00931CCC" w:rsidRDefault="00931CCC">
      <w:pPr>
        <w:pStyle w:val="sectitle"/>
        <w:rPr>
          <w:rFonts w:cs="Arial"/>
        </w:rPr>
      </w:pPr>
      <w:r>
        <w:rPr>
          <w:rFonts w:cs="Arial"/>
        </w:rPr>
        <w:t>SOLUTIONS TO PROBLEMS</w:t>
      </w:r>
    </w:p>
    <w:p w14:paraId="5E441C69" w14:textId="77777777" w:rsidR="00931CCC" w:rsidRDefault="00931CCC">
      <w:pPr>
        <w:rPr>
          <w:rFonts w:cs="Arial"/>
        </w:rPr>
      </w:pPr>
    </w:p>
    <w:p w14:paraId="5E441C6A" w14:textId="77777777" w:rsidR="00931CCC" w:rsidRDefault="00931CCC">
      <w:pPr>
        <w:pStyle w:val="BodyTextIndent3"/>
        <w:tabs>
          <w:tab w:val="left" w:pos="540"/>
          <w:tab w:val="left" w:pos="630"/>
          <w:tab w:val="left" w:pos="720"/>
          <w:tab w:val="left" w:pos="1800"/>
        </w:tabs>
        <w:ind w:left="930"/>
        <w:rPr>
          <w:rFonts w:cs="Arial"/>
          <w:b/>
          <w:bCs/>
          <w:sz w:val="28"/>
        </w:rPr>
      </w:pPr>
      <w:r>
        <w:rPr>
          <w:rFonts w:cs="Arial"/>
          <w:b/>
          <w:bCs/>
          <w:sz w:val="28"/>
        </w:rPr>
        <w:t>Problem 1-1</w:t>
      </w:r>
    </w:p>
    <w:p w14:paraId="5E441C6B" w14:textId="77777777" w:rsidR="00931CCC" w:rsidRDefault="00931CCC">
      <w:pPr>
        <w:pStyle w:val="BodyTextIndent3"/>
        <w:tabs>
          <w:tab w:val="left" w:pos="540"/>
          <w:tab w:val="left" w:pos="630"/>
          <w:tab w:val="left" w:pos="720"/>
          <w:tab w:val="left" w:pos="1800"/>
        </w:tabs>
        <w:ind w:left="930"/>
        <w:rPr>
          <w:rFonts w:cs="Arial"/>
          <w:b/>
          <w:bCs/>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b/>
          <w:bCs/>
        </w:rPr>
        <w:t>Historical</w:t>
      </w:r>
      <w:r>
        <w:rPr>
          <w:rFonts w:cs="Arial"/>
          <w:b/>
          <w:bCs/>
        </w:rPr>
        <w:tab/>
      </w:r>
      <w:r>
        <w:rPr>
          <w:rFonts w:cs="Arial"/>
          <w:b/>
          <w:bCs/>
        </w:rPr>
        <w:tab/>
        <w:t>Current</w:t>
      </w:r>
    </w:p>
    <w:p w14:paraId="5E441C6C" w14:textId="77777777" w:rsidR="00931CCC" w:rsidRDefault="00931CCC">
      <w:pPr>
        <w:pStyle w:val="BodyTextIndent3"/>
        <w:tabs>
          <w:tab w:val="left" w:pos="540"/>
          <w:tab w:val="left" w:pos="630"/>
          <w:tab w:val="left" w:pos="720"/>
          <w:tab w:val="left" w:pos="1800"/>
        </w:tabs>
        <w:ind w:left="930"/>
        <w:rPr>
          <w:rFonts w:cs="Arial"/>
          <w:b/>
          <w:bCs/>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b/>
          <w:bCs/>
        </w:rPr>
        <w:t>Cost</w:t>
      </w:r>
      <w:r>
        <w:rPr>
          <w:rFonts w:cs="Arial"/>
          <w:b/>
          <w:bCs/>
        </w:rPr>
        <w:tab/>
      </w:r>
      <w:r>
        <w:rPr>
          <w:rFonts w:cs="Arial"/>
          <w:b/>
          <w:bCs/>
        </w:rPr>
        <w:tab/>
      </w:r>
      <w:r>
        <w:rPr>
          <w:rFonts w:cs="Arial"/>
          <w:b/>
          <w:bCs/>
        </w:rPr>
        <w:tab/>
        <w:t xml:space="preserve">  Value</w:t>
      </w:r>
    </w:p>
    <w:p w14:paraId="5E441C6D" w14:textId="77777777" w:rsidR="00931CCC" w:rsidRDefault="00931CCC">
      <w:pPr>
        <w:pStyle w:val="BodyTextIndent3"/>
        <w:tabs>
          <w:tab w:val="left" w:pos="540"/>
          <w:tab w:val="left" w:pos="630"/>
          <w:tab w:val="left" w:pos="720"/>
          <w:tab w:val="left" w:pos="1800"/>
        </w:tabs>
        <w:ind w:left="930"/>
        <w:rPr>
          <w:rFonts w:cs="Arial"/>
          <w:b/>
          <w:bCs/>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t>(</w:t>
      </w:r>
      <w:r w:rsidR="00DA7338">
        <w:rPr>
          <w:rFonts w:cs="Arial"/>
          <w:b/>
          <w:bCs/>
        </w:rPr>
        <w:t>ASPE</w:t>
      </w:r>
      <w:r>
        <w:rPr>
          <w:rFonts w:cs="Arial"/>
          <w:b/>
          <w:bCs/>
        </w:rPr>
        <w:t>)</w:t>
      </w:r>
      <w:r>
        <w:rPr>
          <w:rFonts w:cs="Arial"/>
          <w:b/>
          <w:bCs/>
        </w:rPr>
        <w:tab/>
      </w:r>
      <w:r>
        <w:rPr>
          <w:rFonts w:cs="Arial"/>
          <w:b/>
          <w:bCs/>
        </w:rPr>
        <w:tab/>
        <w:t xml:space="preserve"> (IAS 16)</w:t>
      </w:r>
    </w:p>
    <w:p w14:paraId="5E441C6E" w14:textId="77777777" w:rsidR="00931CCC" w:rsidRDefault="00931CCC">
      <w:pPr>
        <w:pStyle w:val="BodyTextIndent3"/>
        <w:tabs>
          <w:tab w:val="left" w:pos="540"/>
          <w:tab w:val="left" w:pos="630"/>
          <w:tab w:val="left" w:pos="720"/>
          <w:tab w:val="left" w:pos="1800"/>
        </w:tabs>
        <w:ind w:left="930"/>
        <w:rPr>
          <w:rFonts w:cs="Arial"/>
        </w:rPr>
      </w:pPr>
      <w:r>
        <w:rPr>
          <w:rFonts w:cs="Arial"/>
        </w:rPr>
        <w:t>Jan 1 /1     Asset cost</w:t>
      </w:r>
      <w:r>
        <w:rPr>
          <w:rFonts w:cs="Arial"/>
        </w:rPr>
        <w:tab/>
      </w:r>
      <w:r>
        <w:rPr>
          <w:rFonts w:cs="Arial"/>
        </w:rPr>
        <w:tab/>
      </w:r>
      <w:r>
        <w:rPr>
          <w:rFonts w:cs="Arial"/>
        </w:rPr>
        <w:tab/>
      </w:r>
      <w:r>
        <w:rPr>
          <w:rFonts w:cs="Arial"/>
        </w:rPr>
        <w:tab/>
      </w:r>
      <w:r>
        <w:rPr>
          <w:rFonts w:cs="Arial"/>
        </w:rPr>
        <w:tab/>
      </w:r>
      <w:r>
        <w:rPr>
          <w:rFonts w:cs="Arial"/>
        </w:rPr>
        <w:tab/>
        <w:t>10,000,000</w:t>
      </w:r>
      <w:r>
        <w:rPr>
          <w:rFonts w:cs="Arial"/>
        </w:rPr>
        <w:tab/>
      </w:r>
      <w:r>
        <w:rPr>
          <w:rFonts w:cs="Arial"/>
        </w:rPr>
        <w:tab/>
        <w:t>10,000,000</w:t>
      </w:r>
    </w:p>
    <w:p w14:paraId="5E441C6F" w14:textId="77777777" w:rsidR="00931CCC" w:rsidRDefault="00931CCC">
      <w:pPr>
        <w:pStyle w:val="BodyTextIndent3"/>
        <w:tabs>
          <w:tab w:val="left" w:pos="540"/>
          <w:tab w:val="left" w:pos="630"/>
          <w:tab w:val="left" w:pos="720"/>
          <w:tab w:val="left" w:pos="1800"/>
        </w:tabs>
        <w:ind w:left="930"/>
        <w:rPr>
          <w:rFonts w:cs="Arial"/>
        </w:rPr>
      </w:pPr>
      <w:r>
        <w:rPr>
          <w:rFonts w:cs="Arial"/>
        </w:rPr>
        <w:t>Year 1</w:t>
      </w:r>
      <w:r>
        <w:rPr>
          <w:rFonts w:cs="Arial"/>
        </w:rPr>
        <w:tab/>
      </w:r>
      <w:r>
        <w:rPr>
          <w:rFonts w:cs="Arial"/>
        </w:rPr>
        <w:tab/>
        <w:t xml:space="preserve">  Depreciation</w:t>
      </w:r>
      <w:r>
        <w:rPr>
          <w:rFonts w:cs="Arial"/>
        </w:rPr>
        <w:tab/>
      </w:r>
      <w:r>
        <w:rPr>
          <w:rFonts w:cs="Arial"/>
        </w:rPr>
        <w:tab/>
      </w:r>
      <w:r>
        <w:rPr>
          <w:rFonts w:cs="Arial"/>
        </w:rPr>
        <w:tab/>
      </w:r>
      <w:r>
        <w:rPr>
          <w:rFonts w:cs="Arial"/>
        </w:rPr>
        <w:tab/>
      </w:r>
      <w:r>
        <w:rPr>
          <w:rFonts w:cs="Arial"/>
        </w:rPr>
        <w:tab/>
        <w:t xml:space="preserve"> </w:t>
      </w:r>
      <w:r>
        <w:rPr>
          <w:rFonts w:cs="Arial"/>
          <w:u w:val="single"/>
        </w:rPr>
        <w:t xml:space="preserve">    500,000</w:t>
      </w:r>
      <w:r>
        <w:rPr>
          <w:rFonts w:cs="Arial"/>
        </w:rPr>
        <w:tab/>
      </w:r>
      <w:r>
        <w:rPr>
          <w:rFonts w:cs="Arial"/>
        </w:rPr>
        <w:tab/>
      </w:r>
      <w:r>
        <w:rPr>
          <w:rFonts w:cs="Arial"/>
          <w:u w:val="single"/>
        </w:rPr>
        <w:t xml:space="preserve">     500,000</w:t>
      </w:r>
      <w:r>
        <w:rPr>
          <w:rFonts w:cs="Arial"/>
        </w:rPr>
        <w:tab/>
      </w:r>
    </w:p>
    <w:p w14:paraId="5E441C70" w14:textId="77777777" w:rsidR="00931CCC" w:rsidRDefault="008121FA">
      <w:pPr>
        <w:pStyle w:val="BodyTextIndent3"/>
        <w:tabs>
          <w:tab w:val="left" w:pos="540"/>
          <w:tab w:val="left" w:pos="630"/>
          <w:tab w:val="left" w:pos="720"/>
          <w:tab w:val="left" w:pos="1800"/>
        </w:tabs>
        <w:ind w:left="930"/>
        <w:rPr>
          <w:rFonts w:cs="Arial"/>
        </w:rPr>
      </w:pPr>
      <w:r>
        <w:rPr>
          <w:rFonts w:cs="Arial"/>
        </w:rPr>
        <w:t>Dec 31</w:t>
      </w:r>
      <w:r w:rsidR="00931CCC">
        <w:rPr>
          <w:rFonts w:cs="Arial"/>
        </w:rPr>
        <w:t>/1  Balance</w:t>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t xml:space="preserve">  </w:t>
      </w:r>
      <w:r w:rsidR="0008179D">
        <w:rPr>
          <w:rFonts w:cs="Arial"/>
        </w:rPr>
        <w:tab/>
        <w:t xml:space="preserve">   </w:t>
      </w:r>
      <w:r w:rsidR="00931CCC">
        <w:rPr>
          <w:rFonts w:cs="Arial"/>
        </w:rPr>
        <w:t>9,500,000</w:t>
      </w:r>
      <w:r w:rsidR="00931CCC">
        <w:rPr>
          <w:rFonts w:cs="Arial"/>
        </w:rPr>
        <w:tab/>
      </w:r>
      <w:r w:rsidR="00931CCC">
        <w:rPr>
          <w:rFonts w:cs="Arial"/>
        </w:rPr>
        <w:tab/>
        <w:t xml:space="preserve">  9,500,000</w:t>
      </w:r>
    </w:p>
    <w:p w14:paraId="5E441C71" w14:textId="77777777" w:rsidR="00931CCC" w:rsidRDefault="00931CCC">
      <w:pPr>
        <w:pStyle w:val="BodyTextIndent3"/>
        <w:tabs>
          <w:tab w:val="left" w:pos="540"/>
          <w:tab w:val="left" w:pos="630"/>
          <w:tab w:val="left" w:pos="720"/>
          <w:tab w:val="left" w:pos="1800"/>
        </w:tabs>
        <w:ind w:left="930"/>
        <w:rPr>
          <w:rFonts w:cs="Arial"/>
        </w:rPr>
      </w:pPr>
      <w:r>
        <w:rPr>
          <w:rFonts w:cs="Arial"/>
        </w:rPr>
        <w:t>Year 2</w:t>
      </w:r>
      <w:r>
        <w:rPr>
          <w:rFonts w:cs="Arial"/>
        </w:rPr>
        <w:tab/>
        <w:t xml:space="preserve">     Depreciation</w:t>
      </w:r>
      <w:r>
        <w:rPr>
          <w:rFonts w:cs="Arial"/>
        </w:rPr>
        <w:tab/>
      </w:r>
      <w:r>
        <w:rPr>
          <w:rFonts w:cs="Arial"/>
        </w:rPr>
        <w:tab/>
      </w:r>
      <w:r>
        <w:rPr>
          <w:rFonts w:cs="Arial"/>
        </w:rPr>
        <w:tab/>
      </w:r>
      <w:r>
        <w:rPr>
          <w:rFonts w:cs="Arial"/>
        </w:rPr>
        <w:tab/>
      </w:r>
      <w:r>
        <w:rPr>
          <w:rFonts w:cs="Arial"/>
        </w:rPr>
        <w:tab/>
        <w:t xml:space="preserve">  </w:t>
      </w:r>
      <w:r>
        <w:rPr>
          <w:rFonts w:cs="Arial"/>
          <w:u w:val="single"/>
        </w:rPr>
        <w:t xml:space="preserve">   500,000</w:t>
      </w:r>
      <w:r>
        <w:rPr>
          <w:rFonts w:cs="Arial"/>
        </w:rPr>
        <w:tab/>
      </w:r>
      <w:r>
        <w:rPr>
          <w:rFonts w:cs="Arial"/>
        </w:rPr>
        <w:tab/>
      </w:r>
      <w:r>
        <w:rPr>
          <w:rFonts w:cs="Arial"/>
          <w:u w:val="single"/>
        </w:rPr>
        <w:t xml:space="preserve">     500,000</w:t>
      </w:r>
      <w:r>
        <w:rPr>
          <w:rFonts w:cs="Arial"/>
        </w:rPr>
        <w:tab/>
      </w:r>
    </w:p>
    <w:p w14:paraId="5E441C72" w14:textId="77777777" w:rsidR="00931CCC" w:rsidRDefault="00931CCC">
      <w:pPr>
        <w:pStyle w:val="BodyTextIndent3"/>
        <w:tabs>
          <w:tab w:val="left" w:pos="540"/>
          <w:tab w:val="left" w:pos="630"/>
          <w:tab w:val="left" w:pos="720"/>
          <w:tab w:val="left" w:pos="1800"/>
        </w:tabs>
        <w:ind w:left="930"/>
        <w:rPr>
          <w:rFonts w:cs="Arial"/>
        </w:rPr>
      </w:pPr>
      <w:r>
        <w:rPr>
          <w:rFonts w:cs="Arial"/>
        </w:rPr>
        <w:t>Dec 31/2   Balance</w:t>
      </w:r>
      <w:r>
        <w:rPr>
          <w:rFonts w:cs="Arial"/>
        </w:rPr>
        <w:tab/>
      </w:r>
      <w:r>
        <w:rPr>
          <w:rFonts w:cs="Arial"/>
        </w:rPr>
        <w:tab/>
      </w:r>
      <w:r>
        <w:rPr>
          <w:rFonts w:cs="Arial"/>
        </w:rPr>
        <w:tab/>
      </w:r>
      <w:r>
        <w:rPr>
          <w:rFonts w:cs="Arial"/>
        </w:rPr>
        <w:tab/>
      </w:r>
      <w:r>
        <w:rPr>
          <w:rFonts w:cs="Arial"/>
        </w:rPr>
        <w:tab/>
        <w:t xml:space="preserve">  </w:t>
      </w:r>
      <w:r>
        <w:rPr>
          <w:rFonts w:cs="Arial"/>
        </w:rPr>
        <w:tab/>
        <w:t xml:space="preserve">  9,000,000</w:t>
      </w:r>
      <w:r>
        <w:rPr>
          <w:rFonts w:cs="Arial"/>
        </w:rPr>
        <w:tab/>
      </w:r>
      <w:r>
        <w:rPr>
          <w:rFonts w:cs="Arial"/>
        </w:rPr>
        <w:tab/>
      </w:r>
      <w:r>
        <w:rPr>
          <w:rFonts w:cs="Arial"/>
          <w:u w:val="double"/>
        </w:rPr>
        <w:t xml:space="preserve">  9,000,000</w:t>
      </w:r>
    </w:p>
    <w:p w14:paraId="5E441C73" w14:textId="77777777" w:rsidR="00931CCC" w:rsidRDefault="00931CCC">
      <w:pPr>
        <w:pStyle w:val="BodyTextIndent3"/>
        <w:tabs>
          <w:tab w:val="left" w:pos="540"/>
          <w:tab w:val="left" w:pos="630"/>
          <w:tab w:val="left" w:pos="720"/>
          <w:tab w:val="left" w:pos="1800"/>
        </w:tabs>
        <w:ind w:left="930"/>
        <w:rPr>
          <w:rFonts w:cs="Arial"/>
        </w:rPr>
      </w:pPr>
      <w:r>
        <w:rPr>
          <w:rFonts w:cs="Arial"/>
        </w:rPr>
        <w:t>Jan 2/3      Appraisal</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12,000,000</w:t>
      </w:r>
    </w:p>
    <w:p w14:paraId="5E441C74" w14:textId="77777777" w:rsidR="00931CCC" w:rsidRDefault="00931CCC">
      <w:pPr>
        <w:pStyle w:val="BodyTextIndent3"/>
        <w:tabs>
          <w:tab w:val="left" w:pos="540"/>
          <w:tab w:val="left" w:pos="630"/>
          <w:tab w:val="left" w:pos="720"/>
          <w:tab w:val="left" w:pos="1800"/>
        </w:tabs>
        <w:ind w:left="930"/>
        <w:rPr>
          <w:rFonts w:cs="Arial"/>
        </w:rPr>
      </w:pPr>
      <w:r>
        <w:rPr>
          <w:rFonts w:cs="Arial"/>
        </w:rPr>
        <w:t>Year 3</w:t>
      </w:r>
      <w:r>
        <w:rPr>
          <w:rFonts w:cs="Arial"/>
        </w:rPr>
        <w:tab/>
        <w:t xml:space="preserve">     Depreciation</w:t>
      </w:r>
      <w:r>
        <w:rPr>
          <w:rFonts w:cs="Arial"/>
        </w:rPr>
        <w:tab/>
      </w:r>
      <w:r>
        <w:rPr>
          <w:rFonts w:cs="Arial"/>
        </w:rPr>
        <w:tab/>
      </w:r>
      <w:r>
        <w:rPr>
          <w:rFonts w:cs="Arial"/>
        </w:rPr>
        <w:tab/>
      </w:r>
      <w:r>
        <w:rPr>
          <w:rFonts w:cs="Arial"/>
        </w:rPr>
        <w:tab/>
      </w:r>
      <w:r>
        <w:rPr>
          <w:rFonts w:cs="Arial"/>
        </w:rPr>
        <w:tab/>
        <w:t xml:space="preserve">  </w:t>
      </w:r>
      <w:r>
        <w:rPr>
          <w:rFonts w:cs="Arial"/>
          <w:u w:val="single"/>
        </w:rPr>
        <w:t xml:space="preserve">   500,000</w:t>
      </w:r>
      <w:r>
        <w:rPr>
          <w:rFonts w:cs="Arial"/>
        </w:rPr>
        <w:tab/>
      </w:r>
      <w:r>
        <w:rPr>
          <w:rFonts w:cs="Arial"/>
        </w:rPr>
        <w:tab/>
        <w:t xml:space="preserve"> </w:t>
      </w:r>
      <w:r>
        <w:rPr>
          <w:rFonts w:cs="Arial"/>
          <w:u w:val="single"/>
        </w:rPr>
        <w:t xml:space="preserve">    666,667</w:t>
      </w:r>
    </w:p>
    <w:p w14:paraId="5E441C75" w14:textId="77777777" w:rsidR="00931CCC" w:rsidRDefault="00931CCC">
      <w:pPr>
        <w:pStyle w:val="BodyTextIndent3"/>
        <w:tabs>
          <w:tab w:val="left" w:pos="540"/>
          <w:tab w:val="left" w:pos="630"/>
          <w:tab w:val="left" w:pos="720"/>
          <w:tab w:val="left" w:pos="1800"/>
        </w:tabs>
        <w:ind w:left="930"/>
        <w:rPr>
          <w:rFonts w:cs="Arial"/>
        </w:rPr>
      </w:pPr>
      <w:r>
        <w:rPr>
          <w:rFonts w:cs="Arial"/>
        </w:rPr>
        <w:t>Dec 31/3   Balance</w:t>
      </w:r>
      <w:r>
        <w:rPr>
          <w:rFonts w:cs="Arial"/>
        </w:rPr>
        <w:tab/>
      </w:r>
      <w:r>
        <w:rPr>
          <w:rFonts w:cs="Arial"/>
        </w:rPr>
        <w:tab/>
      </w:r>
      <w:r>
        <w:rPr>
          <w:rFonts w:cs="Arial"/>
        </w:rPr>
        <w:tab/>
      </w:r>
      <w:r>
        <w:rPr>
          <w:rFonts w:cs="Arial"/>
        </w:rPr>
        <w:tab/>
      </w:r>
      <w:r>
        <w:rPr>
          <w:rFonts w:cs="Arial"/>
        </w:rPr>
        <w:tab/>
      </w:r>
      <w:r>
        <w:rPr>
          <w:rFonts w:cs="Arial"/>
        </w:rPr>
        <w:tab/>
        <w:t xml:space="preserve">  8,500,000</w:t>
      </w:r>
      <w:r>
        <w:rPr>
          <w:rFonts w:cs="Arial"/>
        </w:rPr>
        <w:tab/>
      </w:r>
      <w:r>
        <w:rPr>
          <w:rFonts w:cs="Arial"/>
        </w:rPr>
        <w:tab/>
        <w:t>11,333,333</w:t>
      </w:r>
      <w:r>
        <w:rPr>
          <w:rFonts w:cs="Arial"/>
        </w:rPr>
        <w:tab/>
      </w:r>
    </w:p>
    <w:p w14:paraId="5E441C76" w14:textId="77777777" w:rsidR="00931CCC" w:rsidRDefault="00931CCC">
      <w:pPr>
        <w:pStyle w:val="BodyTextIndent3"/>
        <w:tabs>
          <w:tab w:val="left" w:pos="540"/>
          <w:tab w:val="left" w:pos="630"/>
          <w:tab w:val="left" w:pos="720"/>
          <w:tab w:val="left" w:pos="1800"/>
        </w:tabs>
        <w:ind w:left="930"/>
        <w:rPr>
          <w:rFonts w:cs="Arial"/>
        </w:rPr>
      </w:pPr>
      <w:r>
        <w:rPr>
          <w:rFonts w:cs="Arial"/>
        </w:rPr>
        <w:t>Year 4       Depreciation</w:t>
      </w:r>
      <w:r>
        <w:rPr>
          <w:rFonts w:cs="Arial"/>
        </w:rPr>
        <w:tab/>
      </w:r>
      <w:r>
        <w:rPr>
          <w:rFonts w:cs="Arial"/>
        </w:rPr>
        <w:tab/>
      </w:r>
      <w:r>
        <w:rPr>
          <w:rFonts w:cs="Arial"/>
        </w:rPr>
        <w:tab/>
      </w:r>
      <w:r>
        <w:rPr>
          <w:rFonts w:cs="Arial"/>
        </w:rPr>
        <w:tab/>
      </w:r>
      <w:r>
        <w:rPr>
          <w:rFonts w:cs="Arial"/>
        </w:rPr>
        <w:tab/>
        <w:t xml:space="preserve">  </w:t>
      </w:r>
      <w:r>
        <w:rPr>
          <w:rFonts w:cs="Arial"/>
          <w:u w:val="single"/>
        </w:rPr>
        <w:t xml:space="preserve">   500,000</w:t>
      </w:r>
      <w:r>
        <w:rPr>
          <w:rFonts w:cs="Arial"/>
        </w:rPr>
        <w:tab/>
      </w:r>
      <w:r>
        <w:rPr>
          <w:rFonts w:cs="Arial"/>
        </w:rPr>
        <w:tab/>
        <w:t xml:space="preserve"> </w:t>
      </w:r>
      <w:r>
        <w:rPr>
          <w:rFonts w:cs="Arial"/>
          <w:u w:val="single"/>
        </w:rPr>
        <w:t xml:space="preserve">    666,667</w:t>
      </w:r>
      <w:r>
        <w:rPr>
          <w:rFonts w:cs="Arial"/>
        </w:rPr>
        <w:tab/>
      </w:r>
    </w:p>
    <w:p w14:paraId="5E441C77" w14:textId="77777777" w:rsidR="00931CCC" w:rsidRDefault="00931CCC">
      <w:pPr>
        <w:pStyle w:val="BodyTextIndent3"/>
        <w:tabs>
          <w:tab w:val="left" w:pos="540"/>
          <w:tab w:val="left" w:pos="630"/>
          <w:tab w:val="left" w:pos="720"/>
          <w:tab w:val="left" w:pos="1800"/>
        </w:tabs>
        <w:ind w:left="930"/>
        <w:rPr>
          <w:rFonts w:cs="Arial"/>
        </w:rPr>
      </w:pPr>
      <w:r>
        <w:rPr>
          <w:rFonts w:cs="Arial"/>
        </w:rPr>
        <w:lastRenderedPageBreak/>
        <w:t xml:space="preserve">Dec 31/4   Balance </w:t>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u w:val="double"/>
        </w:rPr>
        <w:t>8,000,000</w:t>
      </w:r>
      <w:r>
        <w:rPr>
          <w:rFonts w:cs="Arial"/>
        </w:rPr>
        <w:tab/>
      </w:r>
      <w:r>
        <w:rPr>
          <w:rFonts w:cs="Arial"/>
        </w:rPr>
        <w:tab/>
      </w:r>
      <w:r>
        <w:rPr>
          <w:rFonts w:cs="Arial"/>
          <w:u w:val="double"/>
        </w:rPr>
        <w:t>10,666,666</w:t>
      </w:r>
    </w:p>
    <w:p w14:paraId="5E441C78" w14:textId="77777777" w:rsidR="00931CCC" w:rsidRDefault="00931CCC">
      <w:pPr>
        <w:pStyle w:val="BodyTextIndent3"/>
        <w:tabs>
          <w:tab w:val="left" w:pos="540"/>
          <w:tab w:val="left" w:pos="630"/>
          <w:tab w:val="left" w:pos="720"/>
          <w:tab w:val="left" w:pos="1800"/>
        </w:tabs>
        <w:ind w:left="930"/>
        <w:rPr>
          <w:rFonts w:cs="Arial"/>
        </w:rPr>
      </w:pPr>
    </w:p>
    <w:p w14:paraId="5E441C79" w14:textId="77777777" w:rsidR="00931CCC" w:rsidRDefault="00931CCC">
      <w:pPr>
        <w:pStyle w:val="BodyTextIndent3"/>
        <w:numPr>
          <w:ilvl w:val="0"/>
          <w:numId w:val="9"/>
        </w:numPr>
        <w:tabs>
          <w:tab w:val="left" w:pos="540"/>
          <w:tab w:val="left" w:pos="630"/>
          <w:tab w:val="left" w:pos="1800"/>
        </w:tabs>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b/>
          <w:bCs/>
        </w:rPr>
        <w:t>Year 2</w:t>
      </w:r>
      <w:r>
        <w:rPr>
          <w:rFonts w:cs="Arial"/>
        </w:rPr>
        <w:tab/>
      </w:r>
      <w:r>
        <w:rPr>
          <w:rFonts w:cs="Arial"/>
        </w:rPr>
        <w:tab/>
      </w:r>
      <w:r>
        <w:rPr>
          <w:rFonts w:cs="Arial"/>
          <w:b/>
          <w:bCs/>
        </w:rPr>
        <w:t>Year 3</w:t>
      </w:r>
      <w:r>
        <w:rPr>
          <w:rFonts w:cs="Arial"/>
        </w:rPr>
        <w:tab/>
      </w:r>
      <w:r>
        <w:rPr>
          <w:rFonts w:cs="Arial"/>
        </w:rPr>
        <w:tab/>
      </w:r>
      <w:r>
        <w:rPr>
          <w:rFonts w:cs="Arial"/>
          <w:b/>
          <w:bCs/>
        </w:rPr>
        <w:t>Year 4</w:t>
      </w:r>
    </w:p>
    <w:p w14:paraId="5E441C7A" w14:textId="77777777" w:rsidR="00931CCC" w:rsidRDefault="00931CCC">
      <w:pPr>
        <w:pStyle w:val="BodyTextIndent3"/>
        <w:tabs>
          <w:tab w:val="left" w:pos="540"/>
          <w:tab w:val="left" w:pos="630"/>
          <w:tab w:val="left" w:pos="720"/>
          <w:tab w:val="left" w:pos="1800"/>
        </w:tabs>
        <w:ind w:left="360" w:firstLine="0"/>
        <w:rPr>
          <w:rFonts w:cs="Arial"/>
        </w:rPr>
      </w:pPr>
      <w:r>
        <w:rPr>
          <w:rFonts w:cs="Arial"/>
        </w:rPr>
        <w:t xml:space="preserve">    1.  IAS 16</w:t>
      </w:r>
      <w:r>
        <w:rPr>
          <w:rFonts w:cs="Arial"/>
        </w:rPr>
        <w:tab/>
      </w:r>
      <w:r>
        <w:rPr>
          <w:rFonts w:cs="Arial"/>
        </w:rPr>
        <w:tab/>
        <w:t xml:space="preserve">          500,000            666,667          666,667</w:t>
      </w:r>
    </w:p>
    <w:p w14:paraId="5E441C7B"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          2.  </w:t>
      </w:r>
      <w:r w:rsidR="00DA7338">
        <w:rPr>
          <w:rFonts w:cs="Arial"/>
        </w:rPr>
        <w:t>ASPE</w:t>
      </w:r>
      <w:r>
        <w:rPr>
          <w:rFonts w:cs="Arial"/>
        </w:rPr>
        <w:tab/>
        <w:t xml:space="preserve">          </w:t>
      </w:r>
      <w:r w:rsidR="0008179D">
        <w:rPr>
          <w:rFonts w:cs="Arial"/>
        </w:rPr>
        <w:t xml:space="preserve">      </w:t>
      </w:r>
      <w:r>
        <w:rPr>
          <w:rFonts w:cs="Arial"/>
        </w:rPr>
        <w:t>500,000            500,000          500,000</w:t>
      </w:r>
    </w:p>
    <w:p w14:paraId="5E441C7C" w14:textId="77777777" w:rsidR="00931CCC" w:rsidRDefault="00931CCC">
      <w:pPr>
        <w:pStyle w:val="BodyTextIndent3"/>
        <w:tabs>
          <w:tab w:val="left" w:pos="540"/>
          <w:tab w:val="left" w:pos="630"/>
          <w:tab w:val="left" w:pos="720"/>
          <w:tab w:val="left" w:pos="1800"/>
        </w:tabs>
        <w:ind w:left="930"/>
        <w:rPr>
          <w:rFonts w:cs="Arial"/>
        </w:rPr>
      </w:pPr>
    </w:p>
    <w:p w14:paraId="5E441C7D"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(b)     </w:t>
      </w:r>
      <w:r>
        <w:rPr>
          <w:rFonts w:cs="Arial"/>
        </w:rPr>
        <w:tab/>
      </w:r>
      <w:r>
        <w:rPr>
          <w:rFonts w:cs="Arial"/>
        </w:rPr>
        <w:tab/>
      </w:r>
      <w:r>
        <w:rPr>
          <w:rFonts w:cs="Arial"/>
        </w:rPr>
        <w:tab/>
      </w:r>
      <w:r>
        <w:rPr>
          <w:rFonts w:cs="Arial"/>
        </w:rPr>
        <w:tab/>
      </w:r>
      <w:r>
        <w:rPr>
          <w:rFonts w:cs="Arial"/>
        </w:rPr>
        <w:tab/>
        <w:t xml:space="preserve">            Jan 2/3</w:t>
      </w:r>
      <w:r>
        <w:rPr>
          <w:rFonts w:cs="Arial"/>
        </w:rPr>
        <w:tab/>
        <w:t>Dec 31/3</w:t>
      </w:r>
      <w:r>
        <w:rPr>
          <w:rFonts w:cs="Arial"/>
        </w:rPr>
        <w:tab/>
        <w:t xml:space="preserve">  Dec 31/4</w:t>
      </w:r>
      <w:r>
        <w:rPr>
          <w:rFonts w:cs="Arial"/>
        </w:rPr>
        <w:tab/>
      </w:r>
      <w:r>
        <w:rPr>
          <w:rFonts w:cs="Arial"/>
        </w:rPr>
        <w:tab/>
      </w:r>
    </w:p>
    <w:p w14:paraId="5E441C7E"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        1.  IAS 16</w:t>
      </w:r>
      <w:r>
        <w:rPr>
          <w:rFonts w:cs="Arial"/>
        </w:rPr>
        <w:tab/>
        <w:t xml:space="preserve">             12,000,000         11,333,333       10,666,666</w:t>
      </w:r>
    </w:p>
    <w:p w14:paraId="5E441C7F"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        2.  </w:t>
      </w:r>
      <w:r w:rsidR="00DA7338">
        <w:rPr>
          <w:rFonts w:cs="Arial"/>
        </w:rPr>
        <w:t>ASPE</w:t>
      </w:r>
      <w:r w:rsidR="00DA7338">
        <w:rPr>
          <w:rFonts w:cs="Arial"/>
        </w:rPr>
        <w:tab/>
      </w:r>
      <w:r>
        <w:rPr>
          <w:rFonts w:cs="Arial"/>
        </w:rPr>
        <w:tab/>
        <w:t xml:space="preserve">         9,000,000           8,500,000         8,000,000</w:t>
      </w:r>
    </w:p>
    <w:p w14:paraId="5E441C80" w14:textId="77777777" w:rsidR="00931CCC" w:rsidRDefault="00931CCC">
      <w:pPr>
        <w:pStyle w:val="BodyTextIndent3"/>
        <w:tabs>
          <w:tab w:val="left" w:pos="540"/>
          <w:tab w:val="left" w:pos="630"/>
          <w:tab w:val="left" w:pos="720"/>
          <w:tab w:val="left" w:pos="1800"/>
        </w:tabs>
        <w:ind w:left="930"/>
        <w:rPr>
          <w:rFonts w:cs="Arial"/>
        </w:rPr>
      </w:pPr>
    </w:p>
    <w:p w14:paraId="5E441C81" w14:textId="77777777" w:rsidR="00931CCC" w:rsidRDefault="00931CCC">
      <w:pPr>
        <w:pStyle w:val="BodyTextIndent3"/>
        <w:tabs>
          <w:tab w:val="left" w:pos="540"/>
          <w:tab w:val="left" w:pos="630"/>
          <w:tab w:val="left" w:pos="720"/>
          <w:tab w:val="left" w:pos="1800"/>
        </w:tabs>
        <w:ind w:left="930"/>
        <w:rPr>
          <w:rFonts w:cs="Arial"/>
        </w:rPr>
      </w:pPr>
      <w:r>
        <w:rPr>
          <w:rFonts w:cs="Arial"/>
        </w:rPr>
        <w:t>(c)    IAS 16</w:t>
      </w:r>
      <w:r>
        <w:rPr>
          <w:rFonts w:cs="Arial"/>
        </w:rPr>
        <w:tab/>
        <w:t xml:space="preserve">       Total depreciation over 20 years</w:t>
      </w:r>
      <w:r>
        <w:rPr>
          <w:rFonts w:cs="Arial"/>
        </w:rPr>
        <w:tab/>
      </w:r>
    </w:p>
    <w:p w14:paraId="5E441C82" w14:textId="77777777" w:rsidR="00931CCC" w:rsidRDefault="00931CCC">
      <w:pPr>
        <w:pStyle w:val="BodyTextIndent3"/>
        <w:tabs>
          <w:tab w:val="left" w:pos="540"/>
          <w:tab w:val="left" w:pos="630"/>
          <w:tab w:val="left" w:pos="720"/>
          <w:tab w:val="left" w:pos="1800"/>
        </w:tabs>
        <w:ind w:left="930"/>
        <w:rPr>
          <w:rFonts w:cs="Arial"/>
        </w:rPr>
      </w:pPr>
      <w:r>
        <w:rPr>
          <w:rFonts w:cs="Arial"/>
        </w:rPr>
        <w:tab/>
      </w:r>
      <w:r>
        <w:rPr>
          <w:rFonts w:cs="Arial"/>
        </w:rPr>
        <w:tab/>
      </w:r>
      <w:r>
        <w:rPr>
          <w:rFonts w:cs="Arial"/>
        </w:rPr>
        <w:tab/>
      </w:r>
      <w:r>
        <w:rPr>
          <w:rFonts w:cs="Arial"/>
        </w:rPr>
        <w:tab/>
      </w:r>
      <w:r>
        <w:rPr>
          <w:rFonts w:cs="Arial"/>
        </w:rPr>
        <w:tab/>
      </w:r>
      <w:r>
        <w:rPr>
          <w:rFonts w:cs="Arial"/>
        </w:rPr>
        <w:tab/>
        <w:t xml:space="preserve"> Years 1 &amp; 2</w:t>
      </w:r>
      <w:r>
        <w:rPr>
          <w:rFonts w:cs="Arial"/>
        </w:rPr>
        <w:tab/>
        <w:t xml:space="preserve">             1,000,000</w:t>
      </w:r>
      <w:r>
        <w:rPr>
          <w:rFonts w:cs="Arial"/>
        </w:rPr>
        <w:tab/>
      </w:r>
      <w:r>
        <w:rPr>
          <w:rFonts w:cs="Arial"/>
        </w:rPr>
        <w:tab/>
      </w:r>
    </w:p>
    <w:p w14:paraId="5E441C83" w14:textId="77777777" w:rsidR="00931CCC" w:rsidRDefault="00931CCC">
      <w:pPr>
        <w:pStyle w:val="BodyTextIndent3"/>
        <w:tabs>
          <w:tab w:val="left" w:pos="540"/>
          <w:tab w:val="left" w:pos="630"/>
          <w:tab w:val="left" w:pos="720"/>
          <w:tab w:val="left" w:pos="1800"/>
        </w:tabs>
        <w:ind w:left="930"/>
        <w:rPr>
          <w:rFonts w:cs="Arial"/>
        </w:rPr>
      </w:pPr>
      <w:r>
        <w:rPr>
          <w:rFonts w:cs="Arial"/>
        </w:rPr>
        <w:tab/>
      </w:r>
      <w:r>
        <w:rPr>
          <w:rFonts w:cs="Arial"/>
        </w:rPr>
        <w:tab/>
      </w:r>
      <w:r>
        <w:rPr>
          <w:rFonts w:cs="Arial"/>
        </w:rPr>
        <w:tab/>
      </w:r>
      <w:r>
        <w:rPr>
          <w:rFonts w:cs="Arial"/>
        </w:rPr>
        <w:tab/>
      </w:r>
      <w:r>
        <w:rPr>
          <w:rFonts w:cs="Arial"/>
        </w:rPr>
        <w:tab/>
      </w:r>
      <w:r>
        <w:rPr>
          <w:rFonts w:cs="Arial"/>
        </w:rPr>
        <w:tab/>
        <w:t xml:space="preserve"> Next 18 years           </w:t>
      </w:r>
      <w:r>
        <w:rPr>
          <w:rFonts w:cs="Arial"/>
          <w:u w:val="single"/>
        </w:rPr>
        <w:t>12,000,000</w:t>
      </w:r>
      <w:r>
        <w:rPr>
          <w:rFonts w:cs="Arial"/>
        </w:rPr>
        <w:t xml:space="preserve">       13,000,000</w:t>
      </w:r>
    </w:p>
    <w:p w14:paraId="5E441C84" w14:textId="77777777" w:rsidR="00931CCC" w:rsidRDefault="00931CCC">
      <w:pPr>
        <w:pStyle w:val="BodyTextIndent3"/>
        <w:tabs>
          <w:tab w:val="left" w:pos="540"/>
          <w:tab w:val="left" w:pos="630"/>
          <w:tab w:val="left" w:pos="720"/>
          <w:tab w:val="left" w:pos="1800"/>
        </w:tabs>
        <w:ind w:left="930"/>
        <w:rPr>
          <w:rFonts w:cs="Arial"/>
          <w:u w:val="single"/>
        </w:rPr>
      </w:pPr>
      <w:r>
        <w:rPr>
          <w:rFonts w:cs="Arial"/>
        </w:rPr>
        <w:t xml:space="preserve">         </w:t>
      </w:r>
      <w:r w:rsidR="00DA7338">
        <w:rPr>
          <w:rFonts w:cs="Arial"/>
        </w:rPr>
        <w:t>ASPE</w:t>
      </w:r>
      <w:r>
        <w:rPr>
          <w:rFonts w:cs="Arial"/>
        </w:rPr>
        <w:tab/>
        <w:t xml:space="preserve">       Total depreciation over 20 years        </w:t>
      </w:r>
      <w:r>
        <w:rPr>
          <w:rFonts w:cs="Arial"/>
          <w:u w:val="single"/>
        </w:rPr>
        <w:t>10,000,000</w:t>
      </w:r>
    </w:p>
    <w:p w14:paraId="5E441C85"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         Profit         </w:t>
      </w:r>
      <w:r w:rsidR="00DA7338">
        <w:rPr>
          <w:rFonts w:cs="Arial"/>
        </w:rPr>
        <w:t xml:space="preserve">ASPE </w:t>
      </w:r>
      <w:r>
        <w:rPr>
          <w:rFonts w:cs="Arial"/>
        </w:rPr>
        <w:t>&gt; IAS 16</w:t>
      </w:r>
      <w:r w:rsidR="00DA7338">
        <w:rPr>
          <w:rFonts w:cs="Arial"/>
        </w:rPr>
        <w:tab/>
      </w:r>
      <w:r>
        <w:rPr>
          <w:rFonts w:cs="Arial"/>
        </w:rPr>
        <w:tab/>
      </w:r>
      <w:r>
        <w:rPr>
          <w:rFonts w:cs="Arial"/>
        </w:rPr>
        <w:tab/>
        <w:t xml:space="preserve">    </w:t>
      </w:r>
      <w:r>
        <w:rPr>
          <w:rFonts w:cs="Arial"/>
        </w:rPr>
        <w:tab/>
      </w:r>
      <w:r>
        <w:rPr>
          <w:rFonts w:cs="Arial"/>
          <w:u w:val="double"/>
        </w:rPr>
        <w:t xml:space="preserve">  3,000,000</w:t>
      </w:r>
    </w:p>
    <w:p w14:paraId="5E441C86"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        There would be no difference in shareholders’ equity at the end of 20 years</w:t>
      </w:r>
    </w:p>
    <w:p w14:paraId="5E441C87" w14:textId="77777777" w:rsidR="00931CCC" w:rsidRDefault="00931CCC">
      <w:pPr>
        <w:pStyle w:val="BodyTextIndent3"/>
        <w:tabs>
          <w:tab w:val="left" w:pos="540"/>
          <w:tab w:val="left" w:pos="630"/>
          <w:tab w:val="left" w:pos="720"/>
          <w:tab w:val="left" w:pos="1800"/>
        </w:tabs>
        <w:ind w:left="930"/>
        <w:rPr>
          <w:rFonts w:cs="Arial"/>
        </w:rPr>
      </w:pPr>
    </w:p>
    <w:p w14:paraId="5E441C88"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 </w:t>
      </w:r>
      <w:r>
        <w:rPr>
          <w:rFonts w:cs="Arial"/>
        </w:rPr>
        <w:tab/>
        <w:t>During the first two years the reduction in shareholders’ equity is the same under the two</w:t>
      </w:r>
    </w:p>
    <w:p w14:paraId="5E441C89"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        </w:t>
      </w:r>
      <w:r>
        <w:rPr>
          <w:rFonts w:cs="Arial"/>
        </w:rPr>
        <w:tab/>
        <w:t xml:space="preserve">alternatives   (2 x 500,000 = 1,000,000)   </w:t>
      </w:r>
    </w:p>
    <w:p w14:paraId="5E441C8A" w14:textId="77777777" w:rsidR="00931CCC" w:rsidRDefault="00931CCC">
      <w:pPr>
        <w:pStyle w:val="BodyTextIndent3"/>
        <w:tabs>
          <w:tab w:val="left" w:pos="540"/>
          <w:tab w:val="left" w:pos="630"/>
          <w:tab w:val="left" w:pos="720"/>
          <w:tab w:val="left" w:pos="1800"/>
        </w:tabs>
        <w:ind w:left="930"/>
        <w:rPr>
          <w:rFonts w:cs="Arial"/>
        </w:rPr>
      </w:pPr>
      <w:r>
        <w:rPr>
          <w:rFonts w:cs="Arial"/>
        </w:rPr>
        <w:t xml:space="preserve">        </w:t>
      </w:r>
      <w:r>
        <w:rPr>
          <w:rFonts w:cs="Arial"/>
        </w:rPr>
        <w:tab/>
        <w:t xml:space="preserve">During the last 18 years  </w:t>
      </w:r>
    </w:p>
    <w:p w14:paraId="5E441C8B" w14:textId="77777777" w:rsidR="00931CCC" w:rsidRDefault="00931CCC" w:rsidP="00480113">
      <w:pPr>
        <w:pStyle w:val="BodyTextIndent3"/>
        <w:tabs>
          <w:tab w:val="left" w:pos="540"/>
          <w:tab w:val="left" w:pos="630"/>
          <w:tab w:val="left" w:pos="720"/>
          <w:tab w:val="left" w:pos="1800"/>
        </w:tabs>
        <w:ind w:left="930" w:right="-180"/>
        <w:rPr>
          <w:rFonts w:cs="Arial"/>
        </w:rPr>
      </w:pPr>
      <w:r>
        <w:rPr>
          <w:rFonts w:cs="Arial"/>
        </w:rPr>
        <w:t xml:space="preserve">           depreciation IAS 16 &gt; </w:t>
      </w:r>
      <w:r w:rsidR="00DA7338">
        <w:rPr>
          <w:rFonts w:cs="Arial"/>
        </w:rPr>
        <w:t>ASPE</w:t>
      </w:r>
      <w:r w:rsidR="00DA7338">
        <w:rPr>
          <w:rFonts w:cs="Arial"/>
        </w:rPr>
        <w:tab/>
      </w:r>
      <w:r w:rsidR="00DA7338">
        <w:rPr>
          <w:rFonts w:cs="Arial"/>
        </w:rPr>
        <w:tab/>
      </w:r>
      <w:r w:rsidR="00DA7338">
        <w:rPr>
          <w:rFonts w:cs="Arial"/>
        </w:rPr>
        <w:tab/>
      </w:r>
      <w:r>
        <w:rPr>
          <w:rFonts w:cs="Arial"/>
        </w:rPr>
        <w:t xml:space="preserve"> </w:t>
      </w:r>
      <w:r>
        <w:rPr>
          <w:rFonts w:cs="Arial"/>
        </w:rPr>
        <w:tab/>
        <w:t xml:space="preserve">            (18 x 166,667)       </w:t>
      </w:r>
      <w:r w:rsidR="00840DC3">
        <w:rPr>
          <w:rFonts w:cs="Arial"/>
        </w:rPr>
        <w:t xml:space="preserve"> </w:t>
      </w:r>
      <w:r>
        <w:rPr>
          <w:rFonts w:cs="Arial"/>
        </w:rPr>
        <w:t>3,000,000</w:t>
      </w:r>
    </w:p>
    <w:p w14:paraId="5E441C8C" w14:textId="77777777" w:rsidR="00931CCC" w:rsidRDefault="00931CCC" w:rsidP="00480113">
      <w:pPr>
        <w:pStyle w:val="BodyTextIndent3"/>
        <w:tabs>
          <w:tab w:val="left" w:pos="540"/>
          <w:tab w:val="left" w:pos="630"/>
          <w:tab w:val="left" w:pos="720"/>
          <w:tab w:val="left" w:pos="1800"/>
          <w:tab w:val="right" w:pos="9360"/>
        </w:tabs>
        <w:ind w:left="930"/>
        <w:rPr>
          <w:rFonts w:cs="Arial"/>
          <w:u w:val="single"/>
        </w:rPr>
      </w:pPr>
      <w:r>
        <w:rPr>
          <w:rFonts w:cs="Arial"/>
        </w:rPr>
        <w:t xml:space="preserve">           Offset by appraisal surplus through OCI               </w:t>
      </w:r>
      <w:r>
        <w:rPr>
          <w:rFonts w:cs="Arial"/>
        </w:rPr>
        <w:tab/>
        <w:t xml:space="preserve">       </w:t>
      </w:r>
      <w:r>
        <w:rPr>
          <w:rFonts w:cs="Arial"/>
          <w:u w:val="single"/>
        </w:rPr>
        <w:t>3,000,000</w:t>
      </w:r>
    </w:p>
    <w:p w14:paraId="46918686" w14:textId="77777777" w:rsidR="00C33D94" w:rsidRDefault="00931CCC" w:rsidP="00480113">
      <w:pPr>
        <w:pStyle w:val="BodyTextIndent3"/>
        <w:tabs>
          <w:tab w:val="left" w:pos="540"/>
          <w:tab w:val="left" w:pos="630"/>
          <w:tab w:val="left" w:pos="720"/>
          <w:tab w:val="left" w:pos="1800"/>
          <w:tab w:val="left" w:pos="8370"/>
          <w:tab w:val="right" w:pos="9360"/>
        </w:tabs>
        <w:ind w:left="930"/>
        <w:rPr>
          <w:rFonts w:cs="Arial"/>
        </w:rPr>
      </w:pPr>
      <w:r>
        <w:rPr>
          <w:rFonts w:cs="Arial"/>
        </w:rPr>
        <w:t xml:space="preserve">           Difference in shareholders’ equity    </w:t>
      </w:r>
      <w:r w:rsidR="00840DC3">
        <w:rPr>
          <w:rFonts w:cs="Arial"/>
        </w:rPr>
        <w:tab/>
      </w:r>
      <w:r>
        <w:rPr>
          <w:rFonts w:cs="Arial"/>
        </w:rPr>
        <w:t xml:space="preserve"> </w:t>
      </w:r>
      <w:r>
        <w:rPr>
          <w:rFonts w:cs="Arial"/>
          <w:u w:val="double"/>
        </w:rPr>
        <w:t xml:space="preserve"> </w:t>
      </w:r>
      <w:r w:rsidR="00840DC3">
        <w:rPr>
          <w:rFonts w:cs="Arial"/>
          <w:u w:val="double"/>
        </w:rPr>
        <w:tab/>
      </w:r>
      <w:r>
        <w:rPr>
          <w:rFonts w:cs="Arial"/>
          <w:u w:val="double"/>
        </w:rPr>
        <w:t>0</w:t>
      </w:r>
      <w:r>
        <w:rPr>
          <w:rFonts w:cs="Arial"/>
        </w:rPr>
        <w:t xml:space="preserve">  </w:t>
      </w:r>
    </w:p>
    <w:p w14:paraId="5E441C8E" w14:textId="77777777" w:rsidR="00931CCC" w:rsidRDefault="00931CCC">
      <w:pPr>
        <w:pStyle w:val="BodyTextIndent3"/>
        <w:tabs>
          <w:tab w:val="left" w:pos="540"/>
          <w:tab w:val="left" w:pos="630"/>
          <w:tab w:val="left" w:pos="720"/>
          <w:tab w:val="left" w:pos="1800"/>
        </w:tabs>
        <w:ind w:left="930"/>
        <w:rPr>
          <w:rFonts w:cs="Arial"/>
        </w:rPr>
      </w:pPr>
    </w:p>
    <w:p w14:paraId="5E441C8F" w14:textId="77777777" w:rsidR="00931CCC" w:rsidRDefault="00931CCC">
      <w:pPr>
        <w:pStyle w:val="BodyTextIndent3"/>
        <w:tabs>
          <w:tab w:val="left" w:pos="540"/>
          <w:tab w:val="left" w:pos="630"/>
          <w:tab w:val="left" w:pos="720"/>
          <w:tab w:val="left" w:pos="1800"/>
        </w:tabs>
        <w:ind w:left="930"/>
        <w:rPr>
          <w:rFonts w:cs="Arial"/>
          <w:b/>
          <w:bCs/>
          <w:sz w:val="28"/>
          <w:highlight w:val="yellow"/>
        </w:rPr>
      </w:pPr>
      <w:r>
        <w:rPr>
          <w:rFonts w:cs="Arial"/>
          <w:b/>
          <w:bCs/>
          <w:sz w:val="28"/>
        </w:rPr>
        <w:t>Problem 1-2</w:t>
      </w:r>
    </w:p>
    <w:p w14:paraId="5E441C90" w14:textId="77777777" w:rsidR="00931CCC" w:rsidRDefault="00931CCC" w:rsidP="00480113">
      <w:pPr>
        <w:pStyle w:val="BodyTextIndent3"/>
        <w:tabs>
          <w:tab w:val="left" w:pos="540"/>
          <w:tab w:val="left" w:pos="630"/>
          <w:tab w:val="left" w:pos="720"/>
          <w:tab w:val="left" w:pos="1800"/>
          <w:tab w:val="left" w:pos="8370"/>
        </w:tabs>
        <w:ind w:left="60" w:firstLine="0"/>
        <w:rPr>
          <w:rFonts w:cs="Arial"/>
        </w:rPr>
      </w:pPr>
      <w:r>
        <w:rPr>
          <w:rFonts w:cs="Arial"/>
        </w:rPr>
        <w:t>(a)</w:t>
      </w:r>
      <w:r>
        <w:rPr>
          <w:rFonts w:cs="Arial"/>
        </w:rPr>
        <w:tab/>
      </w:r>
      <w:r>
        <w:rPr>
          <w:rFonts w:cs="Arial"/>
        </w:rPr>
        <w:tab/>
      </w:r>
      <w:r>
        <w:rPr>
          <w:rFonts w:cs="Arial"/>
        </w:rPr>
        <w:tab/>
      </w:r>
      <w:r>
        <w:rPr>
          <w:rFonts w:cs="Arial"/>
        </w:rPr>
        <w:tab/>
      </w:r>
      <w:r>
        <w:rPr>
          <w:rFonts w:cs="Arial"/>
        </w:rPr>
        <w:tab/>
      </w:r>
      <w:r>
        <w:rPr>
          <w:rFonts w:cs="Arial"/>
        </w:rPr>
        <w:tab/>
      </w:r>
    </w:p>
    <w:p w14:paraId="5E441C91" w14:textId="77777777" w:rsidR="00931CCC" w:rsidRDefault="00DA7338">
      <w:pPr>
        <w:pStyle w:val="BodyTextIndent3"/>
        <w:tabs>
          <w:tab w:val="left" w:pos="540"/>
          <w:tab w:val="left" w:pos="630"/>
          <w:tab w:val="left" w:pos="720"/>
          <w:tab w:val="left" w:pos="1800"/>
        </w:tabs>
        <w:ind w:left="60" w:firstLine="0"/>
        <w:rPr>
          <w:rFonts w:cs="Arial"/>
        </w:rPr>
      </w:pPr>
      <w:r w:rsidDel="00DA7338">
        <w:rPr>
          <w:rFonts w:cs="Arial"/>
        </w:rPr>
        <w:t xml:space="preserve"> </w:t>
      </w:r>
      <w:r w:rsidR="00931CCC">
        <w:rPr>
          <w:rFonts w:cs="Arial"/>
        </w:rPr>
        <w:t>(</w:t>
      </w:r>
      <w:proofErr w:type="spellStart"/>
      <w:r w:rsidR="00931CCC">
        <w:rPr>
          <w:rFonts w:cs="Arial"/>
        </w:rPr>
        <w:t>i</w:t>
      </w:r>
      <w:proofErr w:type="spellEnd"/>
      <w:r w:rsidR="00931CCC">
        <w:rPr>
          <w:rFonts w:cs="Arial"/>
        </w:rPr>
        <w:t xml:space="preserve">) </w:t>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t>IFRS</w:t>
      </w:r>
      <w:r>
        <w:rPr>
          <w:rFonts w:cs="Arial"/>
          <w:vertAlign w:val="superscript"/>
        </w:rPr>
        <w:t>1</w:t>
      </w:r>
      <w:r w:rsidR="00931CCC">
        <w:rPr>
          <w:rFonts w:cs="Arial"/>
        </w:rPr>
        <w:tab/>
      </w:r>
      <w:r w:rsidR="00931CCC">
        <w:rPr>
          <w:rFonts w:cs="Arial"/>
        </w:rPr>
        <w:tab/>
      </w:r>
      <w:r>
        <w:rPr>
          <w:rFonts w:cs="Arial"/>
        </w:rPr>
        <w:t>ASPE</w:t>
      </w:r>
      <w:r>
        <w:rPr>
          <w:rFonts w:cs="Arial"/>
          <w:vertAlign w:val="superscript"/>
        </w:rPr>
        <w:t>2</w:t>
      </w:r>
    </w:p>
    <w:p w14:paraId="5E441C92" w14:textId="77777777" w:rsidR="00931CCC" w:rsidRDefault="00931CCC">
      <w:pPr>
        <w:pStyle w:val="BodyTextIndent3"/>
        <w:tabs>
          <w:tab w:val="left" w:pos="540"/>
          <w:tab w:val="left" w:pos="630"/>
          <w:tab w:val="left" w:pos="720"/>
          <w:tab w:val="left" w:pos="1800"/>
        </w:tabs>
        <w:ind w:hanging="540"/>
        <w:rPr>
          <w:rFonts w:cs="Arial"/>
        </w:rPr>
      </w:pPr>
      <w:r>
        <w:rPr>
          <w:rFonts w:cs="Arial"/>
        </w:rPr>
        <w:t xml:space="preserve">   </w:t>
      </w:r>
      <w:r w:rsidR="00A73C0C">
        <w:rPr>
          <w:rFonts w:cs="Arial"/>
        </w:rPr>
        <w:t>Development costs</w:t>
      </w:r>
      <w:r>
        <w:rPr>
          <w:rFonts w:cs="Arial"/>
        </w:rPr>
        <w:t xml:space="preserve"> @ Dec 31, </w:t>
      </w:r>
      <w:proofErr w:type="spellStart"/>
      <w:r>
        <w:rPr>
          <w:rFonts w:cs="Arial"/>
        </w:rPr>
        <w:t>Yr</w:t>
      </w:r>
      <w:proofErr w:type="spellEnd"/>
      <w:r>
        <w:rPr>
          <w:rFonts w:cs="Arial"/>
        </w:rPr>
        <w:t xml:space="preserve"> 2 </w:t>
      </w:r>
      <w:r>
        <w:rPr>
          <w:rFonts w:cs="Arial"/>
        </w:rPr>
        <w:tab/>
        <w:t>$135,000</w:t>
      </w:r>
      <w:r>
        <w:rPr>
          <w:rFonts w:cs="Arial"/>
        </w:rPr>
        <w:tab/>
        <w:t>$0</w:t>
      </w:r>
    </w:p>
    <w:p w14:paraId="5E441C93" w14:textId="77777777" w:rsidR="00931CCC" w:rsidRDefault="00931CCC">
      <w:pPr>
        <w:pStyle w:val="BodyTextIndent3"/>
        <w:tabs>
          <w:tab w:val="left" w:pos="540"/>
          <w:tab w:val="left" w:pos="630"/>
          <w:tab w:val="left" w:pos="720"/>
          <w:tab w:val="left" w:pos="1800"/>
        </w:tabs>
        <w:ind w:hanging="540"/>
        <w:rPr>
          <w:rFonts w:cs="Arial"/>
        </w:rPr>
      </w:pPr>
    </w:p>
    <w:p w14:paraId="5E441C94" w14:textId="77777777" w:rsidR="00931CCC" w:rsidRDefault="00DA7338">
      <w:pPr>
        <w:pStyle w:val="BodyTextIndent3"/>
        <w:tabs>
          <w:tab w:val="left" w:pos="540"/>
          <w:tab w:val="left" w:pos="630"/>
          <w:tab w:val="left" w:pos="720"/>
          <w:tab w:val="left" w:pos="1800"/>
        </w:tabs>
        <w:ind w:left="60" w:firstLine="0"/>
        <w:rPr>
          <w:rFonts w:cs="Arial"/>
        </w:rPr>
      </w:pPr>
      <w:r>
        <w:rPr>
          <w:rFonts w:cs="Arial"/>
          <w:vertAlign w:val="superscript"/>
        </w:rPr>
        <w:t>1</w:t>
      </w:r>
      <w:r w:rsidR="00931CCC">
        <w:rPr>
          <w:rFonts w:cs="Arial"/>
        </w:rPr>
        <w:t xml:space="preserve"> $500,000*.30 - ($500,000*.30)/10 = $135,000 – only development costs are capitalized.  (IAS 38</w:t>
      </w:r>
      <w:r w:rsidR="00A73C0C">
        <w:rPr>
          <w:rFonts w:cs="Arial"/>
        </w:rPr>
        <w:t>.57</w:t>
      </w:r>
      <w:r w:rsidR="00931CCC">
        <w:rPr>
          <w:rFonts w:cs="Arial"/>
        </w:rPr>
        <w:t>)</w:t>
      </w:r>
    </w:p>
    <w:p w14:paraId="5E441C95" w14:textId="77777777" w:rsidR="00931CCC" w:rsidRDefault="00931CCC">
      <w:pPr>
        <w:pStyle w:val="BodyTextIndent3"/>
        <w:tabs>
          <w:tab w:val="left" w:pos="540"/>
          <w:tab w:val="left" w:pos="630"/>
          <w:tab w:val="left" w:pos="720"/>
          <w:tab w:val="left" w:pos="1800"/>
        </w:tabs>
        <w:ind w:left="60" w:firstLine="0"/>
        <w:rPr>
          <w:rFonts w:cs="Arial"/>
        </w:rPr>
      </w:pPr>
    </w:p>
    <w:p w14:paraId="5E441C96" w14:textId="77777777" w:rsidR="00931CCC" w:rsidRDefault="00DA7338">
      <w:pPr>
        <w:pStyle w:val="BodyTextIndent3"/>
        <w:tabs>
          <w:tab w:val="left" w:pos="540"/>
          <w:tab w:val="left" w:pos="630"/>
          <w:tab w:val="left" w:pos="720"/>
          <w:tab w:val="left" w:pos="1800"/>
        </w:tabs>
        <w:ind w:left="142" w:hanging="142"/>
        <w:rPr>
          <w:rFonts w:cs="Arial"/>
        </w:rPr>
      </w:pPr>
      <w:r>
        <w:rPr>
          <w:rFonts w:cs="Arial"/>
          <w:vertAlign w:val="superscript"/>
        </w:rPr>
        <w:t>2</w:t>
      </w:r>
      <w:r w:rsidR="00931CCC">
        <w:rPr>
          <w:rFonts w:cs="Arial"/>
        </w:rPr>
        <w:t xml:space="preserve"> R&amp;D costs are expensed</w:t>
      </w:r>
      <w:r w:rsidR="00855A37">
        <w:rPr>
          <w:rFonts w:cs="Arial"/>
        </w:rPr>
        <w:t xml:space="preserve"> in Year 1</w:t>
      </w:r>
      <w:r w:rsidR="00931CCC">
        <w:rPr>
          <w:rFonts w:cs="Arial"/>
        </w:rPr>
        <w:t xml:space="preserve"> under</w:t>
      </w:r>
      <w:r>
        <w:rPr>
          <w:rFonts w:cs="Arial"/>
        </w:rPr>
        <w:t xml:space="preserve"> ASPE in order to minimize net income</w:t>
      </w:r>
      <w:r w:rsidR="00931CCC">
        <w:rPr>
          <w:rFonts w:cs="Arial"/>
        </w:rPr>
        <w:t>.</w:t>
      </w:r>
    </w:p>
    <w:p w14:paraId="5E441C97" w14:textId="77777777" w:rsidR="00931CCC" w:rsidRDefault="00931CCC">
      <w:pPr>
        <w:pStyle w:val="BodyTextIndent3"/>
        <w:tabs>
          <w:tab w:val="left" w:pos="540"/>
          <w:tab w:val="left" w:pos="630"/>
          <w:tab w:val="left" w:pos="720"/>
          <w:tab w:val="left" w:pos="1800"/>
        </w:tabs>
        <w:ind w:hanging="540"/>
        <w:rPr>
          <w:rFonts w:cs="Arial"/>
        </w:rPr>
      </w:pPr>
    </w:p>
    <w:p w14:paraId="5E441C98" w14:textId="77777777" w:rsidR="00931CCC" w:rsidRDefault="00DA7338">
      <w:pPr>
        <w:pStyle w:val="BodyTextIndent3"/>
        <w:tabs>
          <w:tab w:val="left" w:pos="540"/>
          <w:tab w:val="left" w:pos="630"/>
          <w:tab w:val="left" w:pos="720"/>
          <w:tab w:val="left" w:pos="1800"/>
        </w:tabs>
        <w:ind w:left="60" w:firstLine="0"/>
        <w:rPr>
          <w:rFonts w:cs="Arial"/>
        </w:rPr>
      </w:pPr>
      <w:r w:rsidDel="00DA7338">
        <w:rPr>
          <w:rFonts w:cs="Arial"/>
        </w:rPr>
        <w:lastRenderedPageBreak/>
        <w:t xml:space="preserve"> </w:t>
      </w:r>
      <w:r w:rsidR="00931CCC">
        <w:rPr>
          <w:rFonts w:cs="Arial"/>
        </w:rPr>
        <w:t>(i</w:t>
      </w:r>
      <w:r>
        <w:rPr>
          <w:rFonts w:cs="Arial"/>
        </w:rPr>
        <w:t>i</w:t>
      </w:r>
      <w:r w:rsidR="00931CCC">
        <w:rPr>
          <w:rFonts w:cs="Arial"/>
        </w:rPr>
        <w:t xml:space="preserve">) </w:t>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r>
      <w:r w:rsidR="00931CCC">
        <w:rPr>
          <w:rFonts w:cs="Arial"/>
        </w:rPr>
        <w:tab/>
        <w:t xml:space="preserve"> </w:t>
      </w:r>
      <w:r w:rsidR="00931CCC">
        <w:rPr>
          <w:rFonts w:cs="Arial"/>
        </w:rPr>
        <w:tab/>
        <w:t>IFRS</w:t>
      </w:r>
      <w:r>
        <w:rPr>
          <w:rFonts w:cs="Arial"/>
          <w:vertAlign w:val="superscript"/>
        </w:rPr>
        <w:t>3</w:t>
      </w:r>
      <w:r w:rsidR="00931CCC">
        <w:rPr>
          <w:rFonts w:cs="Arial"/>
        </w:rPr>
        <w:tab/>
      </w:r>
      <w:r w:rsidR="00931CCC">
        <w:rPr>
          <w:rFonts w:cs="Arial"/>
        </w:rPr>
        <w:tab/>
      </w:r>
      <w:r>
        <w:rPr>
          <w:rFonts w:cs="Arial"/>
        </w:rPr>
        <w:t>ASPE</w:t>
      </w:r>
      <w:r>
        <w:rPr>
          <w:rFonts w:cs="Arial"/>
          <w:vertAlign w:val="superscript"/>
        </w:rPr>
        <w:t>4</w:t>
      </w:r>
    </w:p>
    <w:p w14:paraId="5E441C99" w14:textId="77777777" w:rsidR="00931CCC" w:rsidRDefault="00931CCC">
      <w:pPr>
        <w:pStyle w:val="BodyTextIndent3"/>
        <w:tabs>
          <w:tab w:val="left" w:pos="142"/>
          <w:tab w:val="left" w:pos="540"/>
          <w:tab w:val="left" w:pos="630"/>
          <w:tab w:val="left" w:pos="1800"/>
        </w:tabs>
        <w:ind w:left="142" w:hanging="142"/>
        <w:rPr>
          <w:rFonts w:cs="Arial"/>
        </w:rPr>
      </w:pPr>
      <w:r>
        <w:rPr>
          <w:rFonts w:cs="Arial"/>
        </w:rPr>
        <w:t xml:space="preserve">   Equipment @ Dec 31, </w:t>
      </w:r>
      <w:proofErr w:type="spellStart"/>
      <w:r>
        <w:rPr>
          <w:rFonts w:cs="Arial"/>
        </w:rPr>
        <w:t>Yr</w:t>
      </w:r>
      <w:proofErr w:type="spellEnd"/>
      <w:r>
        <w:rPr>
          <w:rFonts w:cs="Arial"/>
        </w:rPr>
        <w:t xml:space="preserve"> 2 </w:t>
      </w:r>
      <w:r>
        <w:rPr>
          <w:rFonts w:cs="Arial"/>
        </w:rPr>
        <w:tab/>
      </w:r>
      <w:r>
        <w:rPr>
          <w:rFonts w:cs="Arial"/>
        </w:rPr>
        <w:tab/>
      </w:r>
      <w:r>
        <w:rPr>
          <w:rFonts w:cs="Arial"/>
        </w:rPr>
        <w:tab/>
        <w:t>$56,250</w:t>
      </w:r>
      <w:r>
        <w:rPr>
          <w:rFonts w:cs="Arial"/>
        </w:rPr>
        <w:tab/>
        <w:t>$60,000</w:t>
      </w:r>
    </w:p>
    <w:p w14:paraId="5E441C9A" w14:textId="77777777" w:rsidR="00931CCC" w:rsidRDefault="00931CCC">
      <w:pPr>
        <w:pStyle w:val="BodyTextIndent3"/>
        <w:tabs>
          <w:tab w:val="left" w:pos="540"/>
          <w:tab w:val="left" w:pos="630"/>
          <w:tab w:val="left" w:pos="720"/>
          <w:tab w:val="left" w:pos="1800"/>
        </w:tabs>
        <w:ind w:left="930"/>
        <w:rPr>
          <w:rFonts w:cs="Arial"/>
          <w:b/>
          <w:bCs/>
          <w:sz w:val="28"/>
        </w:rPr>
      </w:pPr>
    </w:p>
    <w:p w14:paraId="5E441C9B" w14:textId="77777777" w:rsidR="00931CCC" w:rsidRDefault="00DA7338">
      <w:pPr>
        <w:pStyle w:val="BodyTextIndent3"/>
        <w:tabs>
          <w:tab w:val="left" w:pos="540"/>
          <w:tab w:val="left" w:pos="630"/>
          <w:tab w:val="left" w:pos="720"/>
          <w:tab w:val="left" w:pos="1800"/>
        </w:tabs>
        <w:ind w:left="60" w:firstLine="0"/>
        <w:rPr>
          <w:rFonts w:cs="Arial"/>
        </w:rPr>
      </w:pPr>
      <w:r>
        <w:rPr>
          <w:rFonts w:cs="Arial"/>
          <w:vertAlign w:val="superscript"/>
        </w:rPr>
        <w:t>3</w:t>
      </w:r>
      <w:r w:rsidR="00931CCC">
        <w:rPr>
          <w:rFonts w:cs="Arial"/>
        </w:rPr>
        <w:t xml:space="preserve"> Under IFRS (IAS 36), an asset is impaired </w:t>
      </w:r>
      <w:r>
        <w:rPr>
          <w:rFonts w:cs="Arial"/>
        </w:rPr>
        <w:t xml:space="preserve">at the end of Year 1 </w:t>
      </w:r>
      <w:r w:rsidR="00931CCC">
        <w:rPr>
          <w:rFonts w:cs="Arial"/>
        </w:rPr>
        <w:t xml:space="preserve">if the carrying amount </w:t>
      </w:r>
      <w:r>
        <w:rPr>
          <w:rFonts w:cs="Arial"/>
        </w:rPr>
        <w:t>of $80,000 (</w:t>
      </w:r>
      <w:r w:rsidR="00181D67">
        <w:rPr>
          <w:rFonts w:cs="Arial"/>
        </w:rPr>
        <w:t>$</w:t>
      </w:r>
      <w:r>
        <w:rPr>
          <w:rFonts w:cs="Arial"/>
        </w:rPr>
        <w:t xml:space="preserve">100,000 – </w:t>
      </w:r>
      <w:r w:rsidR="00181D67">
        <w:rPr>
          <w:rFonts w:cs="Arial"/>
        </w:rPr>
        <w:t>$</w:t>
      </w:r>
      <w:r>
        <w:rPr>
          <w:rFonts w:cs="Arial"/>
        </w:rPr>
        <w:t xml:space="preserve">100,000/5 years) </w:t>
      </w:r>
      <w:r w:rsidR="00931CCC">
        <w:rPr>
          <w:rFonts w:cs="Arial"/>
        </w:rPr>
        <w:t xml:space="preserve">exceeds the higher of assets value in use (discounted cash flows = $75,000 at Dec 31, </w:t>
      </w:r>
      <w:proofErr w:type="spellStart"/>
      <w:r w:rsidR="00931CCC">
        <w:rPr>
          <w:rFonts w:cs="Arial"/>
        </w:rPr>
        <w:t>Yr</w:t>
      </w:r>
      <w:proofErr w:type="spellEnd"/>
      <w:r w:rsidR="00931CCC">
        <w:rPr>
          <w:rFonts w:cs="Arial"/>
        </w:rPr>
        <w:t xml:space="preserve"> 1) and its FV less costs to dispose ($72,000).  If impaired, the asset is written down to its value in use.  The balance at Dec 31, </w:t>
      </w:r>
      <w:proofErr w:type="spellStart"/>
      <w:r w:rsidR="00931CCC">
        <w:rPr>
          <w:rFonts w:cs="Arial"/>
        </w:rPr>
        <w:t>Yr</w:t>
      </w:r>
      <w:proofErr w:type="spellEnd"/>
      <w:r w:rsidR="00931CCC">
        <w:rPr>
          <w:rFonts w:cs="Arial"/>
        </w:rPr>
        <w:t xml:space="preserve"> 2 is therefore determined using the $75,000 value in use at Dec 31, </w:t>
      </w:r>
      <w:proofErr w:type="spellStart"/>
      <w:r w:rsidR="00931CCC">
        <w:rPr>
          <w:rFonts w:cs="Arial"/>
        </w:rPr>
        <w:t>Yr</w:t>
      </w:r>
      <w:proofErr w:type="spellEnd"/>
      <w:r w:rsidR="00931CCC">
        <w:rPr>
          <w:rFonts w:cs="Arial"/>
        </w:rPr>
        <w:t xml:space="preserve"> 1 less one year of depreciation ($75,000/4 = $18,750).  </w:t>
      </w:r>
    </w:p>
    <w:p w14:paraId="5E441C9C" w14:textId="77777777" w:rsidR="00931CCC" w:rsidRDefault="00931CCC">
      <w:pPr>
        <w:pStyle w:val="BodyTextIndent3"/>
        <w:tabs>
          <w:tab w:val="left" w:pos="540"/>
          <w:tab w:val="left" w:pos="630"/>
          <w:tab w:val="left" w:pos="720"/>
          <w:tab w:val="left" w:pos="1800"/>
        </w:tabs>
        <w:ind w:left="60" w:firstLine="0"/>
        <w:rPr>
          <w:rFonts w:cs="Arial"/>
        </w:rPr>
      </w:pPr>
    </w:p>
    <w:p w14:paraId="5E441C9D" w14:textId="77777777" w:rsidR="00931CCC" w:rsidRDefault="00DA7338">
      <w:pPr>
        <w:pStyle w:val="BodyTextIndent3"/>
        <w:tabs>
          <w:tab w:val="left" w:pos="540"/>
          <w:tab w:val="left" w:pos="630"/>
          <w:tab w:val="left" w:pos="720"/>
          <w:tab w:val="left" w:pos="1800"/>
        </w:tabs>
        <w:ind w:left="142" w:hanging="142"/>
        <w:rPr>
          <w:rFonts w:cs="Arial"/>
        </w:rPr>
      </w:pPr>
      <w:r>
        <w:rPr>
          <w:rFonts w:cs="Arial"/>
          <w:vertAlign w:val="superscript"/>
        </w:rPr>
        <w:t>4</w:t>
      </w:r>
      <w:r w:rsidR="00931CCC">
        <w:rPr>
          <w:rFonts w:cs="Arial"/>
        </w:rPr>
        <w:t xml:space="preserve"> Under </w:t>
      </w:r>
      <w:r>
        <w:rPr>
          <w:rFonts w:cs="Arial"/>
        </w:rPr>
        <w:t>ASPE</w:t>
      </w:r>
      <w:r w:rsidR="00931CCC">
        <w:rPr>
          <w:rFonts w:cs="Arial"/>
        </w:rPr>
        <w:t>, there is no indicator of impairment if the undiscounted cash flows from its use ($85,000) are greater than the carrying amount</w:t>
      </w:r>
      <w:r>
        <w:rPr>
          <w:rFonts w:cs="Arial"/>
        </w:rPr>
        <w:t xml:space="preserve">, </w:t>
      </w:r>
      <w:r w:rsidR="00931CCC">
        <w:rPr>
          <w:rFonts w:cs="Arial"/>
        </w:rPr>
        <w:t>$80,000</w:t>
      </w:r>
      <w:r>
        <w:rPr>
          <w:rFonts w:cs="Arial"/>
        </w:rPr>
        <w:t>,</w:t>
      </w:r>
      <w:r w:rsidR="00931CCC">
        <w:rPr>
          <w:rFonts w:cs="Arial"/>
        </w:rPr>
        <w:t xml:space="preserve"> at Dec 31, </w:t>
      </w:r>
      <w:proofErr w:type="spellStart"/>
      <w:r w:rsidR="00931CCC">
        <w:rPr>
          <w:rFonts w:cs="Arial"/>
        </w:rPr>
        <w:t>Yr</w:t>
      </w:r>
      <w:proofErr w:type="spellEnd"/>
      <w:r w:rsidR="00931CCC">
        <w:rPr>
          <w:rFonts w:cs="Arial"/>
        </w:rPr>
        <w:t xml:space="preserve"> 1.  The balance under</w:t>
      </w:r>
      <w:r>
        <w:rPr>
          <w:rFonts w:cs="Arial"/>
        </w:rPr>
        <w:t xml:space="preserve"> ASPE</w:t>
      </w:r>
      <w:r w:rsidR="00931CCC">
        <w:rPr>
          <w:rFonts w:cs="Arial"/>
        </w:rPr>
        <w:t xml:space="preserve"> at Dec 31, </w:t>
      </w:r>
      <w:proofErr w:type="spellStart"/>
      <w:r w:rsidR="00931CCC">
        <w:rPr>
          <w:rFonts w:cs="Arial"/>
        </w:rPr>
        <w:t>Yr</w:t>
      </w:r>
      <w:proofErr w:type="spellEnd"/>
      <w:r w:rsidR="00931CCC">
        <w:rPr>
          <w:rFonts w:cs="Arial"/>
        </w:rPr>
        <w:t xml:space="preserve"> 2 is therefore $100,000 less two years of depreciation ($20,000 per year).</w:t>
      </w:r>
    </w:p>
    <w:p w14:paraId="5E441C9E" w14:textId="77777777" w:rsidR="00931CCC" w:rsidRDefault="00931CCC">
      <w:pPr>
        <w:pStyle w:val="BodyTextIndent3"/>
        <w:tabs>
          <w:tab w:val="left" w:pos="540"/>
          <w:tab w:val="left" w:pos="630"/>
          <w:tab w:val="left" w:pos="720"/>
          <w:tab w:val="left" w:pos="1800"/>
        </w:tabs>
        <w:ind w:left="142" w:hanging="142"/>
        <w:rPr>
          <w:rFonts w:cs="Arial"/>
        </w:rPr>
      </w:pPr>
    </w:p>
    <w:p w14:paraId="5E441C9F" w14:textId="77777777" w:rsidR="00931CCC" w:rsidRDefault="00931CCC">
      <w:pPr>
        <w:pStyle w:val="BodyTextIndent3"/>
        <w:tabs>
          <w:tab w:val="left" w:pos="540"/>
          <w:tab w:val="left" w:pos="630"/>
          <w:tab w:val="left" w:pos="720"/>
          <w:tab w:val="left" w:pos="1800"/>
        </w:tabs>
        <w:ind w:left="142" w:hanging="142"/>
        <w:rPr>
          <w:rFonts w:cs="Arial"/>
        </w:rPr>
      </w:pPr>
      <w:r>
        <w:rPr>
          <w:rFonts w:cs="Arial"/>
        </w:rPr>
        <w:t xml:space="preserve">(b) </w:t>
      </w:r>
    </w:p>
    <w:p w14:paraId="5E441CA0" w14:textId="77777777" w:rsidR="00931CCC" w:rsidRDefault="00931CCC">
      <w:pPr>
        <w:pStyle w:val="BodyTextIndent3"/>
        <w:tabs>
          <w:tab w:val="left" w:pos="720"/>
          <w:tab w:val="right" w:pos="8640"/>
        </w:tabs>
        <w:ind w:left="0" w:firstLine="0"/>
        <w:rPr>
          <w:rFonts w:cs="Arial"/>
        </w:rPr>
      </w:pPr>
      <w:r>
        <w:rPr>
          <w:rFonts w:cs="Arial"/>
        </w:rPr>
        <w:t xml:space="preserve">Net Income Year 2 under IFRS </w:t>
      </w:r>
      <w:r>
        <w:rPr>
          <w:rFonts w:cs="Arial"/>
        </w:rPr>
        <w:tab/>
        <w:t xml:space="preserve">  $200,000</w:t>
      </w:r>
    </w:p>
    <w:p w14:paraId="5E441CA1" w14:textId="77777777" w:rsidR="00931CCC" w:rsidRDefault="00931CCC">
      <w:pPr>
        <w:pStyle w:val="BodyTextIndent3"/>
        <w:tabs>
          <w:tab w:val="left" w:pos="720"/>
          <w:tab w:val="right" w:pos="8640"/>
        </w:tabs>
        <w:ind w:left="0" w:firstLine="0"/>
        <w:rPr>
          <w:rFonts w:cs="Arial"/>
          <w:u w:val="single"/>
        </w:rPr>
      </w:pPr>
      <w:r>
        <w:rPr>
          <w:rFonts w:cs="Arial"/>
        </w:rPr>
        <w:t xml:space="preserve">Less: </w:t>
      </w:r>
      <w:r>
        <w:rPr>
          <w:rFonts w:cs="Arial"/>
        </w:rPr>
        <w:tab/>
      </w:r>
      <w:r w:rsidR="00DA7338">
        <w:rPr>
          <w:rFonts w:cs="Arial"/>
        </w:rPr>
        <w:t>ad</w:t>
      </w:r>
      <w:r>
        <w:rPr>
          <w:rFonts w:cs="Arial"/>
        </w:rPr>
        <w:t>ditional depreciation under</w:t>
      </w:r>
      <w:r w:rsidR="00DA7338">
        <w:rPr>
          <w:rFonts w:cs="Arial"/>
        </w:rPr>
        <w:t xml:space="preserve"> ASPE</w:t>
      </w:r>
      <w:r>
        <w:rPr>
          <w:rFonts w:cs="Arial"/>
        </w:rPr>
        <w:t xml:space="preserve"> (20,000 - 18,750)     </w:t>
      </w:r>
      <w:r>
        <w:rPr>
          <w:rFonts w:cs="Arial"/>
        </w:rPr>
        <w:tab/>
        <w:t>(1,250)</w:t>
      </w:r>
    </w:p>
    <w:p w14:paraId="5E441CA2" w14:textId="77777777" w:rsidR="00931CCC" w:rsidRDefault="00931CCC">
      <w:pPr>
        <w:pStyle w:val="BodyTextIndent3"/>
        <w:tabs>
          <w:tab w:val="left" w:pos="720"/>
          <w:tab w:val="right" w:pos="8640"/>
        </w:tabs>
        <w:ind w:left="0" w:firstLine="0"/>
        <w:rPr>
          <w:rFonts w:cs="Arial"/>
        </w:rPr>
      </w:pPr>
      <w:r>
        <w:rPr>
          <w:rFonts w:cs="Arial"/>
        </w:rPr>
        <w:t xml:space="preserve">Add: </w:t>
      </w:r>
      <w:r>
        <w:rPr>
          <w:rFonts w:cs="Arial"/>
        </w:rPr>
        <w:tab/>
        <w:t>development cost amort</w:t>
      </w:r>
      <w:r w:rsidR="008E0D5C">
        <w:rPr>
          <w:rFonts w:cs="Arial"/>
        </w:rPr>
        <w:t>ization</w:t>
      </w:r>
      <w:r>
        <w:rPr>
          <w:rFonts w:cs="Arial"/>
        </w:rPr>
        <w:t>, not recognized under</w:t>
      </w:r>
      <w:r w:rsidR="00855A37">
        <w:rPr>
          <w:rFonts w:cs="Arial"/>
        </w:rPr>
        <w:t xml:space="preserve"> ASPE</w:t>
      </w:r>
      <w:r>
        <w:rPr>
          <w:rFonts w:cs="Arial"/>
        </w:rPr>
        <w:t xml:space="preserve">    </w:t>
      </w:r>
      <w:r>
        <w:rPr>
          <w:rFonts w:cs="Arial"/>
        </w:rPr>
        <w:tab/>
        <w:t xml:space="preserve">       </w:t>
      </w:r>
      <w:r w:rsidRPr="006F3822">
        <w:rPr>
          <w:rFonts w:cs="Arial"/>
          <w:u w:val="single"/>
        </w:rPr>
        <w:t>15,000</w:t>
      </w:r>
    </w:p>
    <w:p w14:paraId="5E441CA3" w14:textId="77777777" w:rsidR="00931CCC" w:rsidRDefault="00931CCC">
      <w:pPr>
        <w:pStyle w:val="BodyTextIndent3"/>
        <w:tabs>
          <w:tab w:val="left" w:pos="720"/>
          <w:tab w:val="right" w:pos="8640"/>
        </w:tabs>
        <w:ind w:left="0" w:firstLine="0"/>
        <w:rPr>
          <w:rFonts w:cs="Arial"/>
        </w:rPr>
      </w:pPr>
      <w:r>
        <w:rPr>
          <w:rFonts w:cs="Arial"/>
        </w:rPr>
        <w:t>Net Income Year 2 under</w:t>
      </w:r>
      <w:r w:rsidR="00855A37">
        <w:rPr>
          <w:rFonts w:cs="Arial"/>
        </w:rPr>
        <w:t xml:space="preserve"> ASPE</w:t>
      </w:r>
      <w:r>
        <w:rPr>
          <w:rFonts w:cs="Arial"/>
        </w:rPr>
        <w:tab/>
        <w:t xml:space="preserve">  </w:t>
      </w:r>
      <w:r>
        <w:rPr>
          <w:rFonts w:cs="Arial"/>
          <w:u w:val="double"/>
        </w:rPr>
        <w:t xml:space="preserve"> $2</w:t>
      </w:r>
      <w:r w:rsidR="00855A37">
        <w:rPr>
          <w:rFonts w:cs="Arial"/>
          <w:u w:val="double"/>
        </w:rPr>
        <w:t>13</w:t>
      </w:r>
      <w:r>
        <w:rPr>
          <w:rFonts w:cs="Arial"/>
          <w:u w:val="double"/>
        </w:rPr>
        <w:t>,750</w:t>
      </w:r>
    </w:p>
    <w:p w14:paraId="5E441CA4" w14:textId="77777777" w:rsidR="00931CCC" w:rsidRDefault="00931CCC">
      <w:pPr>
        <w:pStyle w:val="BodyTextIndent3"/>
        <w:tabs>
          <w:tab w:val="left" w:pos="720"/>
          <w:tab w:val="right" w:pos="8640"/>
        </w:tabs>
        <w:ind w:left="0" w:firstLine="0"/>
        <w:rPr>
          <w:rFonts w:cs="Arial"/>
        </w:rPr>
      </w:pPr>
    </w:p>
    <w:p w14:paraId="5E441CA5" w14:textId="77777777" w:rsidR="00931CCC" w:rsidRDefault="00931CCC">
      <w:pPr>
        <w:pStyle w:val="BodyTextIndent3"/>
        <w:tabs>
          <w:tab w:val="left" w:pos="720"/>
          <w:tab w:val="right" w:pos="8640"/>
        </w:tabs>
        <w:ind w:left="0" w:firstLine="0"/>
        <w:rPr>
          <w:rFonts w:cs="Arial"/>
        </w:rPr>
      </w:pPr>
      <w:r>
        <w:rPr>
          <w:rFonts w:cs="Arial"/>
        </w:rPr>
        <w:t xml:space="preserve">S/E Dec 31 Year 2 under IFRS </w:t>
      </w:r>
      <w:r>
        <w:rPr>
          <w:rFonts w:cs="Arial"/>
        </w:rPr>
        <w:tab/>
        <w:t xml:space="preserve">  $1,800,000</w:t>
      </w:r>
    </w:p>
    <w:p w14:paraId="5E441CA6" w14:textId="77777777" w:rsidR="00931CCC" w:rsidRDefault="00931CCC">
      <w:pPr>
        <w:pStyle w:val="BodyTextIndent3"/>
        <w:tabs>
          <w:tab w:val="left" w:pos="720"/>
          <w:tab w:val="right" w:pos="8640"/>
        </w:tabs>
        <w:ind w:left="0" w:firstLine="0"/>
        <w:rPr>
          <w:rFonts w:cs="Arial"/>
        </w:rPr>
      </w:pPr>
      <w:r>
        <w:rPr>
          <w:rFonts w:cs="Arial"/>
        </w:rPr>
        <w:t xml:space="preserve">Less: </w:t>
      </w:r>
      <w:r>
        <w:rPr>
          <w:rFonts w:cs="Arial"/>
        </w:rPr>
        <w:tab/>
      </w:r>
      <w:r w:rsidR="00855A37">
        <w:rPr>
          <w:rFonts w:cs="Arial"/>
        </w:rPr>
        <w:t>d</w:t>
      </w:r>
      <w:r>
        <w:rPr>
          <w:rFonts w:cs="Arial"/>
        </w:rPr>
        <w:t>evelopment cost not capitalized under</w:t>
      </w:r>
      <w:r w:rsidR="00855A37">
        <w:rPr>
          <w:rFonts w:cs="Arial"/>
        </w:rPr>
        <w:t xml:space="preserve"> ASPE</w:t>
      </w:r>
      <w:r>
        <w:rPr>
          <w:rFonts w:cs="Arial"/>
        </w:rPr>
        <w:t xml:space="preserve">        </w:t>
      </w:r>
      <w:r>
        <w:rPr>
          <w:rFonts w:cs="Arial"/>
        </w:rPr>
        <w:tab/>
        <w:t xml:space="preserve">      (135,000)</w:t>
      </w:r>
    </w:p>
    <w:p w14:paraId="5E441CA7" w14:textId="77777777" w:rsidR="00931CCC" w:rsidRDefault="00931CCC">
      <w:pPr>
        <w:pStyle w:val="BodyTextIndent3"/>
        <w:tabs>
          <w:tab w:val="left" w:pos="720"/>
          <w:tab w:val="right" w:pos="8640"/>
        </w:tabs>
        <w:ind w:left="0" w:firstLine="0"/>
        <w:rPr>
          <w:rFonts w:cs="Arial"/>
          <w:u w:val="single"/>
        </w:rPr>
      </w:pPr>
      <w:r>
        <w:rPr>
          <w:rFonts w:cs="Arial"/>
        </w:rPr>
        <w:t xml:space="preserve">           </w:t>
      </w:r>
      <w:r>
        <w:rPr>
          <w:rFonts w:cs="Arial"/>
        </w:rPr>
        <w:tab/>
        <w:t xml:space="preserve">additional depreciation under </w:t>
      </w:r>
      <w:r w:rsidR="00855A37">
        <w:rPr>
          <w:rFonts w:cs="Arial"/>
        </w:rPr>
        <w:t>ASPE</w:t>
      </w:r>
      <w:r w:rsidR="00855A37" w:rsidDel="00855A37">
        <w:rPr>
          <w:rFonts w:cs="Arial"/>
        </w:rPr>
        <w:t xml:space="preserve"> </w:t>
      </w:r>
      <w:r>
        <w:rPr>
          <w:rFonts w:cs="Arial"/>
        </w:rPr>
        <w:t xml:space="preserve">(20,000 - 18,750)      </w:t>
      </w:r>
      <w:r>
        <w:rPr>
          <w:rFonts w:cs="Arial"/>
        </w:rPr>
        <w:tab/>
        <w:t>(1,250)</w:t>
      </w:r>
    </w:p>
    <w:p w14:paraId="5E441CA8" w14:textId="77777777" w:rsidR="00931CCC" w:rsidRDefault="00931CCC">
      <w:pPr>
        <w:pStyle w:val="BodyTextIndent3"/>
        <w:tabs>
          <w:tab w:val="left" w:pos="720"/>
          <w:tab w:val="right" w:pos="8640"/>
        </w:tabs>
        <w:ind w:left="0" w:firstLine="0"/>
        <w:rPr>
          <w:rFonts w:cs="Arial"/>
          <w:u w:val="single"/>
        </w:rPr>
      </w:pPr>
      <w:r>
        <w:rPr>
          <w:rFonts w:cs="Arial"/>
        </w:rPr>
        <w:t xml:space="preserve">Add:  </w:t>
      </w:r>
      <w:r>
        <w:rPr>
          <w:rFonts w:cs="Arial"/>
        </w:rPr>
        <w:tab/>
        <w:t xml:space="preserve">impairment on equipment not recognized in Year 1 under </w:t>
      </w:r>
      <w:r w:rsidR="009D41A7">
        <w:rPr>
          <w:rFonts w:cs="Arial"/>
        </w:rPr>
        <w:t>ASPE</w:t>
      </w:r>
      <w:r>
        <w:rPr>
          <w:rFonts w:cs="Arial"/>
        </w:rPr>
        <w:t xml:space="preserve"> </w:t>
      </w:r>
      <w:r>
        <w:rPr>
          <w:rFonts w:cs="Arial"/>
        </w:rPr>
        <w:tab/>
      </w:r>
      <w:r>
        <w:rPr>
          <w:rFonts w:cs="Arial"/>
          <w:u w:val="single"/>
        </w:rPr>
        <w:t>5,000</w:t>
      </w:r>
    </w:p>
    <w:p w14:paraId="5E441CA9" w14:textId="77777777" w:rsidR="00931CCC" w:rsidRDefault="00931CCC">
      <w:pPr>
        <w:pStyle w:val="BodyTextIndent3"/>
        <w:tabs>
          <w:tab w:val="left" w:pos="720"/>
          <w:tab w:val="right" w:pos="8640"/>
        </w:tabs>
        <w:ind w:left="0" w:firstLine="0"/>
        <w:rPr>
          <w:rFonts w:cs="Arial"/>
          <w:u w:val="double"/>
        </w:rPr>
      </w:pPr>
      <w:r>
        <w:rPr>
          <w:rFonts w:cs="Arial"/>
        </w:rPr>
        <w:t xml:space="preserve">S/E @ Dec 31, Year 2 under </w:t>
      </w:r>
      <w:r w:rsidR="00855A37">
        <w:rPr>
          <w:rFonts w:cs="Arial"/>
        </w:rPr>
        <w:t>ASPE</w:t>
      </w:r>
      <w:r>
        <w:rPr>
          <w:rFonts w:cs="Arial"/>
        </w:rPr>
        <w:tab/>
        <w:t xml:space="preserve">   </w:t>
      </w:r>
      <w:r>
        <w:rPr>
          <w:rFonts w:cs="Arial"/>
          <w:u w:val="double"/>
        </w:rPr>
        <w:t>$1,6</w:t>
      </w:r>
      <w:r w:rsidR="00855A37">
        <w:rPr>
          <w:rFonts w:cs="Arial"/>
          <w:u w:val="double"/>
        </w:rPr>
        <w:t>68</w:t>
      </w:r>
      <w:r>
        <w:rPr>
          <w:rFonts w:cs="Arial"/>
          <w:u w:val="double"/>
        </w:rPr>
        <w:t>,750</w:t>
      </w:r>
    </w:p>
    <w:p w14:paraId="5E441CAA" w14:textId="77777777" w:rsidR="00931CCC" w:rsidRDefault="00931CCC">
      <w:pPr>
        <w:pStyle w:val="BodyTextIndent3"/>
        <w:tabs>
          <w:tab w:val="left" w:pos="720"/>
          <w:tab w:val="right" w:pos="8640"/>
        </w:tabs>
        <w:ind w:left="0" w:firstLine="0"/>
        <w:rPr>
          <w:rFonts w:cs="Arial"/>
        </w:rPr>
      </w:pPr>
    </w:p>
    <w:p w14:paraId="5E441CAB" w14:textId="77777777" w:rsidR="00931CCC" w:rsidRDefault="00931CCC">
      <w:pPr>
        <w:pStyle w:val="BodyTextIndent3"/>
        <w:tabs>
          <w:tab w:val="left" w:pos="540"/>
          <w:tab w:val="left" w:pos="630"/>
          <w:tab w:val="left" w:pos="720"/>
          <w:tab w:val="left" w:pos="1800"/>
        </w:tabs>
        <w:ind w:left="930"/>
        <w:rPr>
          <w:rFonts w:cs="Arial"/>
          <w:b/>
          <w:bCs/>
          <w:sz w:val="28"/>
          <w:highlight w:val="yellow"/>
        </w:rPr>
      </w:pPr>
      <w:r>
        <w:rPr>
          <w:rFonts w:cs="Arial"/>
          <w:b/>
          <w:bCs/>
          <w:sz w:val="28"/>
        </w:rPr>
        <w:t>Problem 1-3</w:t>
      </w:r>
    </w:p>
    <w:p w14:paraId="5E441CAC" w14:textId="77777777" w:rsidR="00931CCC" w:rsidRDefault="00931CCC">
      <w:pPr>
        <w:tabs>
          <w:tab w:val="right" w:pos="6120"/>
          <w:tab w:val="right" w:pos="9240"/>
        </w:tabs>
        <w:spacing w:line="360" w:lineRule="auto"/>
        <w:rPr>
          <w:rFonts w:cs="Arial"/>
          <w:b/>
          <w:bCs/>
        </w:rPr>
      </w:pPr>
      <w:r>
        <w:rPr>
          <w:rFonts w:cs="Arial"/>
          <w:b/>
          <w:bCs/>
        </w:rPr>
        <w:tab/>
        <w:t xml:space="preserve">Net income  </w:t>
      </w:r>
      <w:r>
        <w:rPr>
          <w:rFonts w:cs="Arial"/>
          <w:b/>
          <w:bCs/>
        </w:rPr>
        <w:tab/>
        <w:t>Shareholders’ equity</w:t>
      </w:r>
    </w:p>
    <w:p w14:paraId="5E441CAD" w14:textId="77777777" w:rsidR="00931CCC" w:rsidRDefault="00931CCC">
      <w:pPr>
        <w:pStyle w:val="Heading3"/>
        <w:tabs>
          <w:tab w:val="right" w:pos="5400"/>
          <w:tab w:val="right" w:pos="6480"/>
          <w:tab w:val="right" w:pos="7920"/>
          <w:tab w:val="right" w:pos="9240"/>
        </w:tabs>
        <w:spacing w:line="360" w:lineRule="auto"/>
        <w:rPr>
          <w:rFonts w:cs="Arial"/>
        </w:rPr>
      </w:pPr>
      <w:r>
        <w:rPr>
          <w:rFonts w:cs="Arial"/>
        </w:rPr>
        <w:t>Description</w:t>
      </w:r>
      <w:r>
        <w:rPr>
          <w:rFonts w:cs="Arial"/>
        </w:rPr>
        <w:tab/>
        <w:t>ASPE</w:t>
      </w:r>
      <w:r>
        <w:rPr>
          <w:rFonts w:cs="Arial"/>
        </w:rPr>
        <w:tab/>
      </w:r>
      <w:r w:rsidR="007F2533">
        <w:rPr>
          <w:rFonts w:cs="Arial"/>
        </w:rPr>
        <w:t>IFRS</w:t>
      </w:r>
      <w:r>
        <w:rPr>
          <w:rFonts w:cs="Arial"/>
        </w:rPr>
        <w:tab/>
        <w:t>ASPE</w:t>
      </w:r>
      <w:r>
        <w:rPr>
          <w:rFonts w:cs="Arial"/>
        </w:rPr>
        <w:tab/>
      </w:r>
      <w:r w:rsidR="007F2533">
        <w:rPr>
          <w:rFonts w:cs="Arial"/>
        </w:rPr>
        <w:t>IFRS</w:t>
      </w:r>
    </w:p>
    <w:p w14:paraId="5E441CAE" w14:textId="77777777" w:rsidR="00931CCC" w:rsidRDefault="00931CCC">
      <w:pPr>
        <w:tabs>
          <w:tab w:val="right" w:pos="5400"/>
          <w:tab w:val="right" w:pos="6480"/>
          <w:tab w:val="right" w:pos="7920"/>
          <w:tab w:val="right" w:pos="9240"/>
        </w:tabs>
        <w:spacing w:line="360" w:lineRule="auto"/>
        <w:rPr>
          <w:rFonts w:cs="Arial"/>
        </w:rPr>
      </w:pPr>
      <w:r>
        <w:rPr>
          <w:rFonts w:cs="Arial"/>
        </w:rPr>
        <w:t>Preliminary financial statements</w:t>
      </w:r>
      <w:r>
        <w:rPr>
          <w:rFonts w:cs="Arial"/>
        </w:rPr>
        <w:tab/>
        <w:t>$40</w:t>
      </w:r>
      <w:r w:rsidR="00973E54">
        <w:rPr>
          <w:rFonts w:cs="Arial"/>
        </w:rPr>
        <w:t>9</w:t>
      </w:r>
      <w:r>
        <w:rPr>
          <w:rFonts w:cs="Arial"/>
        </w:rPr>
        <w:t>,000</w:t>
      </w:r>
      <w:r>
        <w:rPr>
          <w:rFonts w:cs="Arial"/>
        </w:rPr>
        <w:tab/>
        <w:t>$40</w:t>
      </w:r>
      <w:r w:rsidR="00973E54">
        <w:rPr>
          <w:rFonts w:cs="Arial"/>
        </w:rPr>
        <w:t>9</w:t>
      </w:r>
      <w:r>
        <w:rPr>
          <w:rFonts w:cs="Arial"/>
        </w:rPr>
        <w:t>,000</w:t>
      </w:r>
      <w:r>
        <w:rPr>
          <w:rFonts w:cs="Arial"/>
        </w:rPr>
        <w:tab/>
        <w:t>$3,5</w:t>
      </w:r>
      <w:r w:rsidR="00973E54">
        <w:rPr>
          <w:rFonts w:cs="Arial"/>
        </w:rPr>
        <w:t>9</w:t>
      </w:r>
      <w:r>
        <w:rPr>
          <w:rFonts w:cs="Arial"/>
        </w:rPr>
        <w:t>0,000</w:t>
      </w:r>
      <w:r>
        <w:rPr>
          <w:rFonts w:cs="Arial"/>
        </w:rPr>
        <w:tab/>
        <w:t>$3,5</w:t>
      </w:r>
      <w:r w:rsidR="00973E54">
        <w:rPr>
          <w:rFonts w:cs="Arial"/>
        </w:rPr>
        <w:t>90</w:t>
      </w:r>
      <w:r>
        <w:rPr>
          <w:rFonts w:cs="Arial"/>
        </w:rPr>
        <w:t>,000</w:t>
      </w:r>
    </w:p>
    <w:p w14:paraId="5E441CAF" w14:textId="77777777" w:rsidR="00931CCC" w:rsidRDefault="00931CCC">
      <w:pPr>
        <w:tabs>
          <w:tab w:val="right" w:pos="5400"/>
          <w:tab w:val="right" w:pos="6480"/>
          <w:tab w:val="right" w:pos="7920"/>
          <w:tab w:val="right" w:pos="9240"/>
        </w:tabs>
        <w:spacing w:line="360" w:lineRule="auto"/>
        <w:rPr>
          <w:rFonts w:cs="Arial"/>
        </w:rPr>
      </w:pPr>
      <w:r>
        <w:rPr>
          <w:rFonts w:cs="Arial"/>
        </w:rPr>
        <w:t>Loan impairment (#1)</w:t>
      </w:r>
      <w:r>
        <w:rPr>
          <w:rFonts w:cs="Arial"/>
        </w:rPr>
        <w:tab/>
        <w:t>(</w:t>
      </w:r>
      <w:r w:rsidR="00973E54">
        <w:rPr>
          <w:rFonts w:cs="Arial"/>
        </w:rPr>
        <w:t>6,307</w:t>
      </w:r>
      <w:r>
        <w:rPr>
          <w:rFonts w:cs="Arial"/>
        </w:rPr>
        <w:t>)</w:t>
      </w:r>
      <w:r>
        <w:rPr>
          <w:rFonts w:cs="Arial"/>
        </w:rPr>
        <w:tab/>
        <w:t>(1</w:t>
      </w:r>
      <w:r w:rsidR="00973E54">
        <w:rPr>
          <w:rFonts w:cs="Arial"/>
        </w:rPr>
        <w:t>3</w:t>
      </w:r>
      <w:r>
        <w:rPr>
          <w:rFonts w:cs="Arial"/>
        </w:rPr>
        <w:t>,</w:t>
      </w:r>
      <w:r w:rsidR="00973E54">
        <w:rPr>
          <w:rFonts w:cs="Arial"/>
        </w:rPr>
        <w:t>165</w:t>
      </w:r>
      <w:r>
        <w:rPr>
          <w:rFonts w:cs="Arial"/>
        </w:rPr>
        <w:t>)</w:t>
      </w:r>
      <w:r>
        <w:rPr>
          <w:rFonts w:cs="Arial"/>
        </w:rPr>
        <w:tab/>
        <w:t>(</w:t>
      </w:r>
      <w:r w:rsidR="00973E54">
        <w:rPr>
          <w:rFonts w:cs="Arial"/>
        </w:rPr>
        <w:t>6</w:t>
      </w:r>
      <w:r>
        <w:rPr>
          <w:rFonts w:cs="Arial"/>
        </w:rPr>
        <w:t>,</w:t>
      </w:r>
      <w:r w:rsidR="00973E54">
        <w:rPr>
          <w:rFonts w:cs="Arial"/>
        </w:rPr>
        <w:t>307</w:t>
      </w:r>
      <w:r>
        <w:rPr>
          <w:rFonts w:cs="Arial"/>
        </w:rPr>
        <w:t>)</w:t>
      </w:r>
      <w:r>
        <w:rPr>
          <w:rFonts w:cs="Arial"/>
        </w:rPr>
        <w:tab/>
        <w:t>(1</w:t>
      </w:r>
      <w:r w:rsidR="00973E54">
        <w:rPr>
          <w:rFonts w:cs="Arial"/>
        </w:rPr>
        <w:t>3</w:t>
      </w:r>
      <w:r>
        <w:rPr>
          <w:rFonts w:cs="Arial"/>
        </w:rPr>
        <w:t>,</w:t>
      </w:r>
      <w:r w:rsidR="00973E54">
        <w:rPr>
          <w:rFonts w:cs="Arial"/>
        </w:rPr>
        <w:t>165</w:t>
      </w:r>
      <w:r>
        <w:rPr>
          <w:rFonts w:cs="Arial"/>
        </w:rPr>
        <w:t>)</w:t>
      </w:r>
    </w:p>
    <w:p w14:paraId="5E441CB0" w14:textId="77777777" w:rsidR="00931CCC" w:rsidRDefault="00931CCC">
      <w:pPr>
        <w:tabs>
          <w:tab w:val="right" w:pos="5400"/>
          <w:tab w:val="right" w:pos="6480"/>
          <w:tab w:val="right" w:pos="7920"/>
          <w:tab w:val="right" w:pos="9240"/>
        </w:tabs>
        <w:spacing w:line="360" w:lineRule="auto"/>
        <w:rPr>
          <w:rFonts w:cs="Arial"/>
        </w:rPr>
      </w:pPr>
      <w:r>
        <w:rPr>
          <w:rFonts w:cs="Arial"/>
        </w:rPr>
        <w:t>Accrued interest payable (#2)</w:t>
      </w:r>
      <w:r>
        <w:rPr>
          <w:rFonts w:cs="Arial"/>
        </w:rPr>
        <w:tab/>
        <w:t>(</w:t>
      </w:r>
      <w:r w:rsidR="00973E54">
        <w:rPr>
          <w:rFonts w:cs="Arial"/>
        </w:rPr>
        <w:t>28,665</w:t>
      </w:r>
      <w:r>
        <w:rPr>
          <w:rFonts w:cs="Arial"/>
        </w:rPr>
        <w:t>)</w:t>
      </w:r>
      <w:r>
        <w:rPr>
          <w:rFonts w:cs="Arial"/>
        </w:rPr>
        <w:tab/>
      </w:r>
      <w:r>
        <w:rPr>
          <w:rFonts w:cs="Arial"/>
        </w:rPr>
        <w:tab/>
        <w:t>(</w:t>
      </w:r>
      <w:r w:rsidR="00973E54">
        <w:rPr>
          <w:rFonts w:cs="Arial"/>
        </w:rPr>
        <w:t>28</w:t>
      </w:r>
      <w:r>
        <w:rPr>
          <w:rFonts w:cs="Arial"/>
        </w:rPr>
        <w:t>,6</w:t>
      </w:r>
      <w:r w:rsidR="00973E54">
        <w:rPr>
          <w:rFonts w:cs="Arial"/>
        </w:rPr>
        <w:t>65</w:t>
      </w:r>
      <w:r>
        <w:rPr>
          <w:rFonts w:cs="Arial"/>
        </w:rPr>
        <w:t>)</w:t>
      </w:r>
    </w:p>
    <w:p w14:paraId="5E441CB1" w14:textId="77777777" w:rsidR="00931CCC" w:rsidRDefault="00931CCC">
      <w:pPr>
        <w:tabs>
          <w:tab w:val="right" w:pos="5400"/>
          <w:tab w:val="right" w:pos="6480"/>
          <w:tab w:val="right" w:pos="7920"/>
          <w:tab w:val="right" w:pos="9240"/>
        </w:tabs>
        <w:spacing w:line="360" w:lineRule="auto"/>
        <w:rPr>
          <w:rFonts w:cs="Arial"/>
        </w:rPr>
      </w:pPr>
      <w:r>
        <w:rPr>
          <w:rFonts w:cs="Arial"/>
        </w:rPr>
        <w:t>Actuarial gains (#3)</w:t>
      </w:r>
      <w:r>
        <w:rPr>
          <w:rFonts w:cs="Arial"/>
        </w:rPr>
        <w:tab/>
        <w:t>9</w:t>
      </w:r>
      <w:r w:rsidR="00973E54">
        <w:rPr>
          <w:rFonts w:cs="Arial"/>
        </w:rPr>
        <w:t>8</w:t>
      </w:r>
      <w:r>
        <w:rPr>
          <w:rFonts w:cs="Arial"/>
        </w:rPr>
        <w:t>,</w:t>
      </w:r>
      <w:r w:rsidR="00973E54">
        <w:rPr>
          <w:rFonts w:cs="Arial"/>
        </w:rPr>
        <w:t>1</w:t>
      </w:r>
      <w:r>
        <w:rPr>
          <w:rFonts w:cs="Arial"/>
        </w:rPr>
        <w:t>00</w:t>
      </w:r>
      <w:r>
        <w:rPr>
          <w:rFonts w:cs="Arial"/>
        </w:rPr>
        <w:tab/>
      </w:r>
      <w:r>
        <w:rPr>
          <w:rFonts w:cs="Arial"/>
        </w:rPr>
        <w:tab/>
      </w:r>
      <w:r w:rsidR="00973E54">
        <w:rPr>
          <w:rFonts w:cs="Arial"/>
        </w:rPr>
        <w:t>98</w:t>
      </w:r>
      <w:r>
        <w:rPr>
          <w:rFonts w:cs="Arial"/>
        </w:rPr>
        <w:t>,</w:t>
      </w:r>
      <w:r w:rsidR="00973E54">
        <w:rPr>
          <w:rFonts w:cs="Arial"/>
        </w:rPr>
        <w:t>1</w:t>
      </w:r>
      <w:r>
        <w:rPr>
          <w:rFonts w:cs="Arial"/>
        </w:rPr>
        <w:t>00</w:t>
      </w:r>
      <w:r>
        <w:rPr>
          <w:rFonts w:cs="Arial"/>
        </w:rPr>
        <w:tab/>
        <w:t>9</w:t>
      </w:r>
      <w:r w:rsidR="00973E54">
        <w:rPr>
          <w:rFonts w:cs="Arial"/>
        </w:rPr>
        <w:t>8</w:t>
      </w:r>
      <w:r>
        <w:rPr>
          <w:rFonts w:cs="Arial"/>
        </w:rPr>
        <w:t>,</w:t>
      </w:r>
      <w:r w:rsidR="00973E54">
        <w:rPr>
          <w:rFonts w:cs="Arial"/>
        </w:rPr>
        <w:t>1</w:t>
      </w:r>
      <w:r>
        <w:rPr>
          <w:rFonts w:cs="Arial"/>
        </w:rPr>
        <w:t>00</w:t>
      </w:r>
    </w:p>
    <w:p w14:paraId="5E441CB2" w14:textId="77777777" w:rsidR="00931CCC" w:rsidRDefault="00931CCC">
      <w:pPr>
        <w:tabs>
          <w:tab w:val="right" w:pos="5400"/>
          <w:tab w:val="right" w:pos="6480"/>
          <w:tab w:val="right" w:pos="7920"/>
          <w:tab w:val="right" w:pos="9240"/>
        </w:tabs>
        <w:spacing w:line="360" w:lineRule="auto"/>
        <w:rPr>
          <w:rFonts w:cs="Arial"/>
        </w:rPr>
      </w:pPr>
      <w:r>
        <w:rPr>
          <w:rFonts w:cs="Arial"/>
        </w:rPr>
        <w:t>Equity portion of compound instrument (#4)</w:t>
      </w:r>
      <w:r>
        <w:rPr>
          <w:rFonts w:cs="Arial"/>
        </w:rPr>
        <w:tab/>
      </w:r>
      <w:r>
        <w:rPr>
          <w:rFonts w:cs="Arial"/>
        </w:rPr>
        <w:tab/>
      </w:r>
      <w:r>
        <w:rPr>
          <w:rFonts w:cs="Arial"/>
        </w:rPr>
        <w:tab/>
      </w:r>
      <w:r w:rsidR="00973E54">
        <w:rPr>
          <w:rFonts w:cs="Arial"/>
        </w:rPr>
        <w:t>68</w:t>
      </w:r>
      <w:r>
        <w:rPr>
          <w:rFonts w:cs="Arial"/>
        </w:rPr>
        <w:t>,000</w:t>
      </w:r>
      <w:r>
        <w:rPr>
          <w:rFonts w:cs="Arial"/>
        </w:rPr>
        <w:tab/>
      </w:r>
      <w:r w:rsidR="00973E54">
        <w:rPr>
          <w:rFonts w:cs="Arial"/>
        </w:rPr>
        <w:t>68</w:t>
      </w:r>
      <w:r>
        <w:rPr>
          <w:rFonts w:cs="Arial"/>
        </w:rPr>
        <w:t>,000</w:t>
      </w:r>
    </w:p>
    <w:p w14:paraId="5E441CB3" w14:textId="77777777" w:rsidR="00931CCC" w:rsidRDefault="00931CCC">
      <w:pPr>
        <w:tabs>
          <w:tab w:val="right" w:pos="5400"/>
          <w:tab w:val="right" w:pos="6480"/>
          <w:tab w:val="right" w:pos="7920"/>
          <w:tab w:val="right" w:pos="9240"/>
        </w:tabs>
        <w:spacing w:line="360" w:lineRule="auto"/>
        <w:rPr>
          <w:rFonts w:cs="Arial"/>
        </w:rPr>
      </w:pPr>
      <w:r>
        <w:rPr>
          <w:rFonts w:cs="Arial"/>
        </w:rPr>
        <w:lastRenderedPageBreak/>
        <w:t>Future tax liability (#5)</w:t>
      </w:r>
      <w:r>
        <w:rPr>
          <w:rFonts w:cs="Arial"/>
        </w:rPr>
        <w:tab/>
      </w:r>
      <w:r>
        <w:rPr>
          <w:rFonts w:cs="Arial"/>
          <w:u w:val="single"/>
        </w:rPr>
        <w:t>(4</w:t>
      </w:r>
      <w:r w:rsidR="00973E54">
        <w:rPr>
          <w:rFonts w:cs="Arial"/>
          <w:u w:val="single"/>
        </w:rPr>
        <w:t>9</w:t>
      </w:r>
      <w:r>
        <w:rPr>
          <w:rFonts w:cs="Arial"/>
          <w:u w:val="single"/>
        </w:rPr>
        <w:t>,000)</w:t>
      </w:r>
      <w:r>
        <w:rPr>
          <w:rFonts w:cs="Arial"/>
        </w:rPr>
        <w:tab/>
      </w:r>
      <w:r>
        <w:rPr>
          <w:rFonts w:cs="Arial"/>
          <w:u w:val="single"/>
        </w:rPr>
        <w:t>(4</w:t>
      </w:r>
      <w:r w:rsidR="00973E54">
        <w:rPr>
          <w:rFonts w:cs="Arial"/>
          <w:u w:val="single"/>
        </w:rPr>
        <w:t>9</w:t>
      </w:r>
      <w:r>
        <w:rPr>
          <w:rFonts w:cs="Arial"/>
          <w:u w:val="single"/>
        </w:rPr>
        <w:t>,000)</w:t>
      </w:r>
      <w:r>
        <w:rPr>
          <w:rFonts w:cs="Arial"/>
        </w:rPr>
        <w:tab/>
      </w:r>
      <w:r>
        <w:rPr>
          <w:rFonts w:cs="Arial"/>
          <w:u w:val="single"/>
        </w:rPr>
        <w:t>(</w:t>
      </w:r>
      <w:r w:rsidR="00973E54">
        <w:rPr>
          <w:rFonts w:cs="Arial"/>
          <w:u w:val="single"/>
        </w:rPr>
        <w:t>358</w:t>
      </w:r>
      <w:r>
        <w:rPr>
          <w:rFonts w:cs="Arial"/>
          <w:u w:val="single"/>
        </w:rPr>
        <w:t>,000)</w:t>
      </w:r>
      <w:r>
        <w:rPr>
          <w:rFonts w:cs="Arial"/>
        </w:rPr>
        <w:tab/>
      </w:r>
      <w:r>
        <w:rPr>
          <w:rFonts w:cs="Arial"/>
          <w:u w:val="single"/>
        </w:rPr>
        <w:t>(3</w:t>
      </w:r>
      <w:r w:rsidR="00973E54">
        <w:rPr>
          <w:rFonts w:cs="Arial"/>
          <w:u w:val="single"/>
        </w:rPr>
        <w:t>58</w:t>
      </w:r>
      <w:r>
        <w:rPr>
          <w:rFonts w:cs="Arial"/>
          <w:u w:val="single"/>
        </w:rPr>
        <w:t>,000)</w:t>
      </w:r>
    </w:p>
    <w:p w14:paraId="5E441CB4" w14:textId="77777777" w:rsidR="00931CCC" w:rsidRDefault="00931CCC">
      <w:pPr>
        <w:tabs>
          <w:tab w:val="right" w:pos="5400"/>
          <w:tab w:val="right" w:pos="6480"/>
          <w:tab w:val="right" w:pos="7920"/>
          <w:tab w:val="right" w:pos="9240"/>
        </w:tabs>
        <w:spacing w:line="360" w:lineRule="auto"/>
        <w:rPr>
          <w:rFonts w:cs="Arial"/>
        </w:rPr>
      </w:pPr>
      <w:r>
        <w:rPr>
          <w:rFonts w:cs="Arial"/>
        </w:rPr>
        <w:t>Revised values</w:t>
      </w:r>
      <w:r>
        <w:rPr>
          <w:rFonts w:cs="Arial"/>
        </w:rPr>
        <w:tab/>
        <w:t>$</w:t>
      </w:r>
      <w:r>
        <w:rPr>
          <w:rFonts w:cs="Arial"/>
          <w:u w:val="double"/>
        </w:rPr>
        <w:t>42</w:t>
      </w:r>
      <w:r w:rsidR="00973E54">
        <w:rPr>
          <w:rFonts w:cs="Arial"/>
          <w:u w:val="double"/>
        </w:rPr>
        <w:t>3</w:t>
      </w:r>
      <w:r>
        <w:rPr>
          <w:rFonts w:cs="Arial"/>
          <w:u w:val="double"/>
        </w:rPr>
        <w:t>,</w:t>
      </w:r>
      <w:r w:rsidR="00973E54">
        <w:rPr>
          <w:rFonts w:cs="Arial"/>
          <w:u w:val="double"/>
        </w:rPr>
        <w:t>128</w:t>
      </w:r>
      <w:r>
        <w:rPr>
          <w:rFonts w:cs="Arial"/>
        </w:rPr>
        <w:tab/>
        <w:t>$</w:t>
      </w:r>
      <w:r>
        <w:rPr>
          <w:rFonts w:cs="Arial"/>
          <w:u w:val="double"/>
        </w:rPr>
        <w:t>34</w:t>
      </w:r>
      <w:r w:rsidR="00973E54">
        <w:rPr>
          <w:rFonts w:cs="Arial"/>
          <w:u w:val="double"/>
        </w:rPr>
        <w:t>6</w:t>
      </w:r>
      <w:r>
        <w:rPr>
          <w:rFonts w:cs="Arial"/>
          <w:u w:val="double"/>
        </w:rPr>
        <w:t>,</w:t>
      </w:r>
      <w:r w:rsidR="00973E54">
        <w:rPr>
          <w:rFonts w:cs="Arial"/>
          <w:u w:val="double"/>
        </w:rPr>
        <w:t>835</w:t>
      </w:r>
      <w:r>
        <w:rPr>
          <w:rFonts w:cs="Arial"/>
        </w:rPr>
        <w:tab/>
        <w:t>$</w:t>
      </w:r>
      <w:r>
        <w:rPr>
          <w:rFonts w:cs="Arial"/>
          <w:u w:val="double"/>
        </w:rPr>
        <w:t>3,</w:t>
      </w:r>
      <w:r w:rsidR="00973E54">
        <w:rPr>
          <w:rFonts w:cs="Arial"/>
          <w:u w:val="double"/>
        </w:rPr>
        <w:t>363</w:t>
      </w:r>
      <w:r>
        <w:rPr>
          <w:rFonts w:cs="Arial"/>
          <w:u w:val="double"/>
        </w:rPr>
        <w:t>,</w:t>
      </w:r>
      <w:r w:rsidR="00973E54">
        <w:rPr>
          <w:rFonts w:cs="Arial"/>
          <w:u w:val="double"/>
        </w:rPr>
        <w:t>128</w:t>
      </w:r>
      <w:r>
        <w:rPr>
          <w:rFonts w:cs="Arial"/>
        </w:rPr>
        <w:tab/>
        <w:t>$</w:t>
      </w:r>
      <w:r>
        <w:rPr>
          <w:rFonts w:cs="Arial"/>
          <w:u w:val="double"/>
        </w:rPr>
        <w:t>3,</w:t>
      </w:r>
      <w:r w:rsidR="00973E54">
        <w:rPr>
          <w:rFonts w:cs="Arial"/>
          <w:u w:val="double"/>
        </w:rPr>
        <w:t>384</w:t>
      </w:r>
      <w:r>
        <w:rPr>
          <w:rFonts w:cs="Arial"/>
          <w:u w:val="double"/>
        </w:rPr>
        <w:t>,</w:t>
      </w:r>
      <w:r w:rsidR="00973E54">
        <w:rPr>
          <w:rFonts w:cs="Arial"/>
          <w:u w:val="double"/>
        </w:rPr>
        <w:t>935</w:t>
      </w:r>
    </w:p>
    <w:p w14:paraId="5E441CB5" w14:textId="77777777" w:rsidR="00931CCC" w:rsidRDefault="00931CCC">
      <w:pPr>
        <w:tabs>
          <w:tab w:val="right" w:pos="5400"/>
          <w:tab w:val="right" w:pos="6480"/>
          <w:tab w:val="right" w:pos="7920"/>
          <w:tab w:val="right" w:pos="9240"/>
        </w:tabs>
        <w:spacing w:line="360" w:lineRule="auto"/>
        <w:rPr>
          <w:rFonts w:cs="Arial"/>
        </w:rPr>
      </w:pPr>
    </w:p>
    <w:p w14:paraId="5E441CB6" w14:textId="77777777" w:rsidR="00931CCC" w:rsidRDefault="00931CCC">
      <w:pPr>
        <w:tabs>
          <w:tab w:val="right" w:pos="5400"/>
          <w:tab w:val="right" w:pos="6480"/>
          <w:tab w:val="right" w:pos="7920"/>
          <w:tab w:val="right" w:pos="9240"/>
        </w:tabs>
        <w:spacing w:line="360" w:lineRule="auto"/>
        <w:rPr>
          <w:rFonts w:cs="Arial"/>
          <w:b/>
          <w:bCs/>
        </w:rPr>
      </w:pPr>
      <w:r>
        <w:rPr>
          <w:rFonts w:cs="Arial"/>
          <w:b/>
          <w:bCs/>
        </w:rPr>
        <w:t>Notes:</w:t>
      </w:r>
    </w:p>
    <w:p w14:paraId="5E441CB7" w14:textId="77777777" w:rsidR="00931CCC" w:rsidRDefault="00931CCC">
      <w:pPr>
        <w:numPr>
          <w:ilvl w:val="0"/>
          <w:numId w:val="39"/>
        </w:numPr>
        <w:tabs>
          <w:tab w:val="right" w:pos="5400"/>
          <w:tab w:val="right" w:pos="6480"/>
          <w:tab w:val="right" w:pos="7920"/>
          <w:tab w:val="right" w:pos="9240"/>
        </w:tabs>
        <w:spacing w:line="360" w:lineRule="auto"/>
        <w:rPr>
          <w:rFonts w:cs="Arial"/>
        </w:rPr>
      </w:pPr>
      <w:r>
        <w:rPr>
          <w:rFonts w:cs="Arial"/>
        </w:rPr>
        <w:t xml:space="preserve">Impaired loans – </w:t>
      </w:r>
      <w:r w:rsidR="008C70F8">
        <w:rPr>
          <w:rFonts w:cs="Arial"/>
        </w:rPr>
        <w:t>M</w:t>
      </w:r>
      <w:r>
        <w:rPr>
          <w:rFonts w:cs="Arial"/>
        </w:rPr>
        <w:t xml:space="preserve">ust determine present value of future cash flows. Must use market interest rate of </w:t>
      </w:r>
      <w:r w:rsidR="008D3619">
        <w:rPr>
          <w:rFonts w:cs="Arial"/>
        </w:rPr>
        <w:t>9</w:t>
      </w:r>
      <w:r>
        <w:rPr>
          <w:rFonts w:cs="Arial"/>
        </w:rPr>
        <w:t xml:space="preserve">% under ASPE and original interest rate of </w:t>
      </w:r>
      <w:r w:rsidR="008D3619">
        <w:rPr>
          <w:rFonts w:cs="Arial"/>
        </w:rPr>
        <w:t>11</w:t>
      </w:r>
      <w:r>
        <w:rPr>
          <w:rFonts w:cs="Arial"/>
        </w:rPr>
        <w:t xml:space="preserve">% under </w:t>
      </w:r>
      <w:r w:rsidR="007F2533">
        <w:rPr>
          <w:rFonts w:cs="Arial"/>
        </w:rPr>
        <w:t>IFRS</w:t>
      </w:r>
      <w:r>
        <w:rPr>
          <w:rFonts w:cs="Arial"/>
        </w:rPr>
        <w:t>.</w:t>
      </w:r>
    </w:p>
    <w:p w14:paraId="5E441CB8" w14:textId="77777777" w:rsidR="00931CCC" w:rsidRDefault="00931CCC">
      <w:pPr>
        <w:numPr>
          <w:ilvl w:val="0"/>
          <w:numId w:val="39"/>
        </w:numPr>
        <w:tabs>
          <w:tab w:val="right" w:pos="5400"/>
          <w:tab w:val="right" w:pos="6480"/>
          <w:tab w:val="right" w:pos="7920"/>
          <w:tab w:val="right" w:pos="9240"/>
        </w:tabs>
        <w:spacing w:line="360" w:lineRule="auto"/>
        <w:rPr>
          <w:rFonts w:cs="Arial"/>
        </w:rPr>
      </w:pPr>
      <w:r>
        <w:rPr>
          <w:rFonts w:cs="Arial"/>
        </w:rPr>
        <w:t xml:space="preserve">Interest costs – Can capitalize or expense under ASPE; would expense in order to minimize ROE. Must capitalize under </w:t>
      </w:r>
      <w:r w:rsidR="007F2533">
        <w:rPr>
          <w:rFonts w:cs="Arial"/>
        </w:rPr>
        <w:t>IFRS</w:t>
      </w:r>
      <w:r>
        <w:rPr>
          <w:rFonts w:cs="Arial"/>
        </w:rPr>
        <w:t xml:space="preserve">. </w:t>
      </w:r>
    </w:p>
    <w:p w14:paraId="5E441CB9" w14:textId="77777777" w:rsidR="00931CCC" w:rsidRDefault="00931CCC">
      <w:pPr>
        <w:numPr>
          <w:ilvl w:val="0"/>
          <w:numId w:val="39"/>
        </w:numPr>
        <w:tabs>
          <w:tab w:val="right" w:pos="5400"/>
          <w:tab w:val="right" w:pos="6480"/>
          <w:tab w:val="right" w:pos="7920"/>
          <w:tab w:val="right" w:pos="9240"/>
        </w:tabs>
        <w:spacing w:line="360" w:lineRule="auto"/>
        <w:rPr>
          <w:rFonts w:cs="Arial"/>
        </w:rPr>
      </w:pPr>
      <w:r>
        <w:rPr>
          <w:rFonts w:cs="Arial"/>
        </w:rPr>
        <w:t>Actuarial gains –</w:t>
      </w:r>
      <w:r w:rsidR="008C70F8">
        <w:rPr>
          <w:rFonts w:cs="Arial"/>
        </w:rPr>
        <w:t xml:space="preserve"> </w:t>
      </w:r>
      <w:r>
        <w:rPr>
          <w:rFonts w:cs="Arial"/>
        </w:rPr>
        <w:t xml:space="preserve">Must recognize immediately in net income under ASPE. Must recognize immediately in OCI under </w:t>
      </w:r>
      <w:r w:rsidR="007F2533">
        <w:rPr>
          <w:rFonts w:cs="Arial"/>
        </w:rPr>
        <w:t>IFRS</w:t>
      </w:r>
      <w:r w:rsidR="008C70F8">
        <w:rPr>
          <w:rFonts w:cs="Arial"/>
        </w:rPr>
        <w:t>.</w:t>
      </w:r>
    </w:p>
    <w:p w14:paraId="5E441CBA" w14:textId="77777777" w:rsidR="00931CCC" w:rsidRDefault="00931CCC">
      <w:pPr>
        <w:numPr>
          <w:ilvl w:val="0"/>
          <w:numId w:val="39"/>
        </w:numPr>
        <w:tabs>
          <w:tab w:val="right" w:pos="5400"/>
          <w:tab w:val="right" w:pos="6480"/>
          <w:tab w:val="right" w:pos="7920"/>
          <w:tab w:val="right" w:pos="9240"/>
        </w:tabs>
        <w:spacing w:line="360" w:lineRule="auto"/>
        <w:rPr>
          <w:rFonts w:cs="Arial"/>
        </w:rPr>
      </w:pPr>
      <w:r>
        <w:rPr>
          <w:rFonts w:cs="Arial"/>
        </w:rPr>
        <w:t>Compound financial instrument – Can recognize the $</w:t>
      </w:r>
      <w:r w:rsidR="008D3619">
        <w:rPr>
          <w:rFonts w:cs="Arial"/>
        </w:rPr>
        <w:t>68</w:t>
      </w:r>
      <w:r>
        <w:rPr>
          <w:rFonts w:cs="Arial"/>
        </w:rPr>
        <w:t xml:space="preserve">,000 value of the conversion option as debt or equity under ASPE; would recognize as equity to increase denominator for ROE calculation and thereby reduce ROE. Must recognize as equity under </w:t>
      </w:r>
      <w:r w:rsidR="007F2533">
        <w:rPr>
          <w:rFonts w:cs="Arial"/>
        </w:rPr>
        <w:t>IFRS</w:t>
      </w:r>
      <w:r>
        <w:rPr>
          <w:rFonts w:cs="Arial"/>
        </w:rPr>
        <w:t xml:space="preserve">. </w:t>
      </w:r>
    </w:p>
    <w:p w14:paraId="5E441CBB" w14:textId="77777777" w:rsidR="00931CCC" w:rsidRDefault="00931CCC">
      <w:pPr>
        <w:numPr>
          <w:ilvl w:val="0"/>
          <w:numId w:val="39"/>
        </w:numPr>
        <w:tabs>
          <w:tab w:val="right" w:pos="5400"/>
          <w:tab w:val="right" w:pos="6480"/>
          <w:tab w:val="right" w:pos="7920"/>
          <w:tab w:val="right" w:pos="9240"/>
        </w:tabs>
        <w:spacing w:line="360" w:lineRule="auto"/>
        <w:rPr>
          <w:rFonts w:cs="Arial"/>
        </w:rPr>
      </w:pPr>
      <w:r>
        <w:rPr>
          <w:rFonts w:cs="Arial"/>
        </w:rPr>
        <w:t xml:space="preserve">Income Tax –Can use taxes payable or future income tax method under ASPE; would use future income tax in order to reduce net income. Must use future income tax method under </w:t>
      </w:r>
      <w:r w:rsidR="007F2533">
        <w:rPr>
          <w:rFonts w:cs="Arial"/>
        </w:rPr>
        <w:t>IFRS</w:t>
      </w:r>
      <w:r>
        <w:rPr>
          <w:rFonts w:cs="Arial"/>
        </w:rPr>
        <w:t>.</w:t>
      </w:r>
    </w:p>
    <w:p w14:paraId="5E441CBC" w14:textId="77777777" w:rsidR="00931CCC" w:rsidRDefault="00931CCC">
      <w:pPr>
        <w:tabs>
          <w:tab w:val="right" w:pos="5400"/>
          <w:tab w:val="right" w:pos="6480"/>
          <w:tab w:val="right" w:pos="7920"/>
          <w:tab w:val="right" w:pos="9240"/>
        </w:tabs>
        <w:spacing w:line="360" w:lineRule="auto"/>
        <w:rPr>
          <w:rFonts w:cs="Arial"/>
        </w:rPr>
      </w:pPr>
    </w:p>
    <w:p w14:paraId="5E441CBD" w14:textId="77777777" w:rsidR="00931CCC" w:rsidRDefault="00931CCC">
      <w:pPr>
        <w:tabs>
          <w:tab w:val="right" w:pos="7920"/>
          <w:tab w:val="right" w:pos="9240"/>
        </w:tabs>
        <w:spacing w:line="360" w:lineRule="auto"/>
        <w:rPr>
          <w:rFonts w:cs="Arial"/>
          <w:b/>
          <w:bCs/>
        </w:rPr>
      </w:pPr>
      <w:r>
        <w:rPr>
          <w:rFonts w:cs="Arial"/>
          <w:b/>
          <w:bCs/>
        </w:rPr>
        <w:t>Calculations:</w:t>
      </w:r>
      <w:r>
        <w:rPr>
          <w:rFonts w:cs="Arial"/>
          <w:b/>
          <w:bCs/>
        </w:rPr>
        <w:tab/>
        <w:t>ASPE</w:t>
      </w:r>
      <w:r>
        <w:rPr>
          <w:rFonts w:cs="Arial"/>
          <w:b/>
          <w:bCs/>
        </w:rPr>
        <w:tab/>
      </w:r>
      <w:r w:rsidR="007F2533">
        <w:rPr>
          <w:rFonts w:cs="Arial"/>
          <w:b/>
          <w:bCs/>
        </w:rPr>
        <w:t>IFRS</w:t>
      </w:r>
    </w:p>
    <w:p w14:paraId="5E441CBE" w14:textId="77777777" w:rsidR="00931CCC" w:rsidRDefault="00931CCC">
      <w:pPr>
        <w:tabs>
          <w:tab w:val="right" w:pos="7920"/>
          <w:tab w:val="right" w:pos="9240"/>
        </w:tabs>
        <w:spacing w:line="360" w:lineRule="auto"/>
        <w:rPr>
          <w:rFonts w:cs="Arial"/>
        </w:rPr>
      </w:pPr>
      <w:r>
        <w:rPr>
          <w:rFonts w:cs="Arial"/>
        </w:rPr>
        <w:t>1. Loan receivable</w:t>
      </w:r>
    </w:p>
    <w:p w14:paraId="5E441CBF" w14:textId="77777777" w:rsidR="00931CCC" w:rsidRDefault="00931CCC">
      <w:pPr>
        <w:tabs>
          <w:tab w:val="left" w:pos="360"/>
          <w:tab w:val="right" w:pos="7920"/>
          <w:tab w:val="right" w:pos="9240"/>
        </w:tabs>
        <w:spacing w:line="360" w:lineRule="auto"/>
        <w:rPr>
          <w:rFonts w:cs="Arial"/>
        </w:rPr>
      </w:pPr>
      <w:r>
        <w:rPr>
          <w:rFonts w:cs="Arial"/>
        </w:rPr>
        <w:tab/>
        <w:t>Carrying amount</w:t>
      </w:r>
      <w:r>
        <w:rPr>
          <w:rFonts w:cs="Arial"/>
        </w:rPr>
        <w:tab/>
        <w:t>$2</w:t>
      </w:r>
      <w:r w:rsidR="008D3619">
        <w:rPr>
          <w:rFonts w:cs="Arial"/>
        </w:rPr>
        <w:t>4</w:t>
      </w:r>
      <w:r>
        <w:rPr>
          <w:rFonts w:cs="Arial"/>
        </w:rPr>
        <w:t>0,000</w:t>
      </w:r>
      <w:r>
        <w:rPr>
          <w:rFonts w:cs="Arial"/>
        </w:rPr>
        <w:tab/>
        <w:t>$2</w:t>
      </w:r>
      <w:r w:rsidR="008D3619">
        <w:rPr>
          <w:rFonts w:cs="Arial"/>
        </w:rPr>
        <w:t>4</w:t>
      </w:r>
      <w:r>
        <w:rPr>
          <w:rFonts w:cs="Arial"/>
        </w:rPr>
        <w:t>0,000</w:t>
      </w:r>
    </w:p>
    <w:p w14:paraId="5E441CC0" w14:textId="77777777" w:rsidR="00931CCC" w:rsidRDefault="00931CCC">
      <w:pPr>
        <w:tabs>
          <w:tab w:val="left" w:pos="360"/>
          <w:tab w:val="right" w:pos="7920"/>
          <w:tab w:val="right" w:pos="9240"/>
        </w:tabs>
        <w:spacing w:line="360" w:lineRule="auto"/>
        <w:rPr>
          <w:rFonts w:cs="Arial"/>
        </w:rPr>
      </w:pPr>
      <w:r>
        <w:rPr>
          <w:rFonts w:cs="Arial"/>
        </w:rPr>
        <w:tab/>
        <w:t>Present value of future cash flows at</w:t>
      </w:r>
    </w:p>
    <w:p w14:paraId="5E441CC1" w14:textId="77777777" w:rsidR="00931CCC" w:rsidRDefault="00931CCC">
      <w:pPr>
        <w:tabs>
          <w:tab w:val="left" w:pos="360"/>
          <w:tab w:val="right" w:pos="7920"/>
          <w:tab w:val="right" w:pos="9240"/>
        </w:tabs>
        <w:spacing w:line="360" w:lineRule="auto"/>
        <w:rPr>
          <w:rFonts w:cs="Arial"/>
        </w:rPr>
      </w:pPr>
      <w:r>
        <w:rPr>
          <w:rFonts w:cs="Arial"/>
        </w:rPr>
        <w:tab/>
        <w:t xml:space="preserve">    </w:t>
      </w:r>
      <w:r w:rsidR="00FC0D9A">
        <w:rPr>
          <w:rFonts w:cs="Arial"/>
        </w:rPr>
        <w:t>9</w:t>
      </w:r>
      <w:r>
        <w:rPr>
          <w:rFonts w:cs="Arial"/>
        </w:rPr>
        <w:t>%</w:t>
      </w:r>
      <w:r>
        <w:rPr>
          <w:rFonts w:cs="Arial"/>
        </w:rPr>
        <w:tab/>
      </w:r>
      <w:r>
        <w:rPr>
          <w:rFonts w:cs="Arial"/>
          <w:u w:val="single"/>
        </w:rPr>
        <w:t>2</w:t>
      </w:r>
      <w:r w:rsidR="008D3619">
        <w:rPr>
          <w:rFonts w:cs="Arial"/>
          <w:u w:val="single"/>
        </w:rPr>
        <w:t>29</w:t>
      </w:r>
      <w:r>
        <w:rPr>
          <w:rFonts w:cs="Arial"/>
          <w:u w:val="single"/>
        </w:rPr>
        <w:t>,</w:t>
      </w:r>
      <w:r w:rsidR="008D3619">
        <w:rPr>
          <w:rFonts w:cs="Arial"/>
          <w:u w:val="single"/>
        </w:rPr>
        <w:t>489</w:t>
      </w:r>
      <w:r>
        <w:rPr>
          <w:rFonts w:cs="Arial"/>
        </w:rPr>
        <w:tab/>
      </w:r>
      <w:r>
        <w:rPr>
          <w:rFonts w:cs="Arial"/>
        </w:rPr>
        <w:tab/>
      </w:r>
    </w:p>
    <w:p w14:paraId="5E441CC2" w14:textId="77777777" w:rsidR="00931CCC" w:rsidRDefault="00931CCC">
      <w:pPr>
        <w:tabs>
          <w:tab w:val="left" w:pos="360"/>
          <w:tab w:val="right" w:pos="7920"/>
          <w:tab w:val="right" w:pos="9240"/>
        </w:tabs>
        <w:spacing w:line="360" w:lineRule="auto"/>
        <w:rPr>
          <w:rFonts w:cs="Arial"/>
          <w:u w:val="single"/>
        </w:rPr>
      </w:pPr>
      <w:r>
        <w:rPr>
          <w:rFonts w:cs="Arial"/>
        </w:rPr>
        <w:tab/>
        <w:t xml:space="preserve">    </w:t>
      </w:r>
      <w:r w:rsidR="00FC0D9A">
        <w:rPr>
          <w:rFonts w:cs="Arial"/>
        </w:rPr>
        <w:t>11</w:t>
      </w:r>
      <w:r>
        <w:rPr>
          <w:rFonts w:cs="Arial"/>
        </w:rPr>
        <w:t>%</w:t>
      </w:r>
      <w:r>
        <w:rPr>
          <w:rFonts w:cs="Arial"/>
        </w:rPr>
        <w:tab/>
      </w:r>
      <w:r>
        <w:rPr>
          <w:rFonts w:cs="Arial"/>
        </w:rPr>
        <w:tab/>
      </w:r>
      <w:r w:rsidR="008D3619">
        <w:rPr>
          <w:rFonts w:cs="Arial"/>
          <w:u w:val="single"/>
        </w:rPr>
        <w:t>218</w:t>
      </w:r>
      <w:r>
        <w:rPr>
          <w:rFonts w:cs="Arial"/>
          <w:u w:val="single"/>
        </w:rPr>
        <w:t>,</w:t>
      </w:r>
      <w:r w:rsidR="008D3619">
        <w:rPr>
          <w:rFonts w:cs="Arial"/>
          <w:u w:val="single"/>
        </w:rPr>
        <w:t>058</w:t>
      </w:r>
    </w:p>
    <w:p w14:paraId="5E441CC3" w14:textId="77777777" w:rsidR="00931CCC" w:rsidRDefault="00931CCC">
      <w:pPr>
        <w:tabs>
          <w:tab w:val="left" w:pos="360"/>
          <w:tab w:val="right" w:pos="7920"/>
          <w:tab w:val="right" w:pos="9240"/>
        </w:tabs>
        <w:spacing w:line="360" w:lineRule="auto"/>
        <w:rPr>
          <w:rFonts w:cs="Arial"/>
        </w:rPr>
      </w:pPr>
      <w:r>
        <w:rPr>
          <w:rFonts w:cs="Arial"/>
        </w:rPr>
        <w:tab/>
        <w:t>Impairment loss before tax</w:t>
      </w:r>
      <w:r>
        <w:rPr>
          <w:rFonts w:cs="Arial"/>
        </w:rPr>
        <w:tab/>
      </w:r>
      <w:r w:rsidR="008D3619">
        <w:rPr>
          <w:rFonts w:cs="Arial"/>
        </w:rPr>
        <w:t>10</w:t>
      </w:r>
      <w:r>
        <w:rPr>
          <w:rFonts w:cs="Arial"/>
        </w:rPr>
        <w:t>,</w:t>
      </w:r>
      <w:r w:rsidR="008D3619">
        <w:rPr>
          <w:rFonts w:cs="Arial"/>
        </w:rPr>
        <w:t>511</w:t>
      </w:r>
      <w:r>
        <w:rPr>
          <w:rFonts w:cs="Arial"/>
        </w:rPr>
        <w:tab/>
        <w:t>2</w:t>
      </w:r>
      <w:r w:rsidR="008D3619">
        <w:rPr>
          <w:rFonts w:cs="Arial"/>
        </w:rPr>
        <w:t>1</w:t>
      </w:r>
      <w:r>
        <w:rPr>
          <w:rFonts w:cs="Arial"/>
        </w:rPr>
        <w:t>,</w:t>
      </w:r>
      <w:r w:rsidR="008D3619">
        <w:rPr>
          <w:rFonts w:cs="Arial"/>
        </w:rPr>
        <w:t>942</w:t>
      </w:r>
    </w:p>
    <w:p w14:paraId="5E441CC4" w14:textId="77777777" w:rsidR="00931CCC" w:rsidRDefault="00931CCC">
      <w:pPr>
        <w:tabs>
          <w:tab w:val="left" w:pos="360"/>
          <w:tab w:val="right" w:pos="7920"/>
          <w:tab w:val="right" w:pos="9240"/>
        </w:tabs>
        <w:spacing w:line="360" w:lineRule="auto"/>
        <w:rPr>
          <w:rFonts w:cs="Arial"/>
        </w:rPr>
      </w:pPr>
      <w:r>
        <w:rPr>
          <w:rFonts w:cs="Arial"/>
        </w:rPr>
        <w:tab/>
        <w:t xml:space="preserve">Impairment loss after tax (x </w:t>
      </w:r>
      <w:r w:rsidR="00FC0D9A">
        <w:rPr>
          <w:rFonts w:cs="Arial"/>
        </w:rPr>
        <w:t>0</w:t>
      </w:r>
      <w:r>
        <w:rPr>
          <w:rFonts w:cs="Arial"/>
        </w:rPr>
        <w:t>.6)</w:t>
      </w:r>
      <w:r>
        <w:rPr>
          <w:rFonts w:cs="Arial"/>
        </w:rPr>
        <w:tab/>
      </w:r>
      <w:r w:rsidR="008D3619">
        <w:rPr>
          <w:rFonts w:cs="Arial"/>
        </w:rPr>
        <w:t>6</w:t>
      </w:r>
      <w:r>
        <w:rPr>
          <w:rFonts w:cs="Arial"/>
        </w:rPr>
        <w:t>,</w:t>
      </w:r>
      <w:r w:rsidR="008D3619">
        <w:rPr>
          <w:rFonts w:cs="Arial"/>
        </w:rPr>
        <w:t>307</w:t>
      </w:r>
      <w:r>
        <w:rPr>
          <w:rFonts w:cs="Arial"/>
        </w:rPr>
        <w:tab/>
        <w:t>1</w:t>
      </w:r>
      <w:r w:rsidR="008D3619">
        <w:rPr>
          <w:rFonts w:cs="Arial"/>
        </w:rPr>
        <w:t>3</w:t>
      </w:r>
      <w:r>
        <w:rPr>
          <w:rFonts w:cs="Arial"/>
        </w:rPr>
        <w:t>,</w:t>
      </w:r>
      <w:r w:rsidR="008D3619">
        <w:rPr>
          <w:rFonts w:cs="Arial"/>
        </w:rPr>
        <w:t>165</w:t>
      </w:r>
    </w:p>
    <w:p w14:paraId="5E441CC5" w14:textId="77777777" w:rsidR="00931CCC" w:rsidRDefault="00931CCC">
      <w:pPr>
        <w:tabs>
          <w:tab w:val="left" w:pos="360"/>
          <w:tab w:val="right" w:pos="7920"/>
          <w:tab w:val="right" w:pos="9240"/>
        </w:tabs>
        <w:spacing w:line="360" w:lineRule="auto"/>
        <w:rPr>
          <w:rFonts w:cs="Arial"/>
        </w:rPr>
      </w:pPr>
      <w:r>
        <w:rPr>
          <w:rFonts w:cs="Arial"/>
        </w:rPr>
        <w:t>2. Interest costs</w:t>
      </w:r>
    </w:p>
    <w:p w14:paraId="5E441CC6" w14:textId="77777777" w:rsidR="00931CCC" w:rsidRDefault="00931CCC">
      <w:pPr>
        <w:tabs>
          <w:tab w:val="left" w:pos="360"/>
          <w:tab w:val="right" w:pos="7920"/>
          <w:tab w:val="right" w:pos="9240"/>
        </w:tabs>
        <w:spacing w:line="360" w:lineRule="auto"/>
        <w:rPr>
          <w:rFonts w:cs="Arial"/>
        </w:rPr>
      </w:pPr>
      <w:r>
        <w:rPr>
          <w:rFonts w:cs="Arial"/>
        </w:rPr>
        <w:tab/>
        <w:t>March to September (4</w:t>
      </w:r>
      <w:r w:rsidR="00FC0D9A">
        <w:rPr>
          <w:rFonts w:cs="Arial"/>
        </w:rPr>
        <w:t>9</w:t>
      </w:r>
      <w:r>
        <w:rPr>
          <w:rFonts w:cs="Arial"/>
        </w:rPr>
        <w:t xml:space="preserve">0,000 x </w:t>
      </w:r>
      <w:r w:rsidR="00FC0D9A">
        <w:rPr>
          <w:rFonts w:cs="Arial"/>
        </w:rPr>
        <w:t>9</w:t>
      </w:r>
      <w:r>
        <w:rPr>
          <w:rFonts w:cs="Arial"/>
        </w:rPr>
        <w:t>% x 7/12)</w:t>
      </w:r>
      <w:r>
        <w:rPr>
          <w:rFonts w:cs="Arial"/>
        </w:rPr>
        <w:tab/>
      </w:r>
      <w:r w:rsidR="00FC0D9A">
        <w:rPr>
          <w:rFonts w:cs="Arial"/>
        </w:rPr>
        <w:t>25</w:t>
      </w:r>
      <w:r>
        <w:rPr>
          <w:rFonts w:cs="Arial"/>
        </w:rPr>
        <w:t>,</w:t>
      </w:r>
      <w:r w:rsidR="00FC0D9A">
        <w:rPr>
          <w:rFonts w:cs="Arial"/>
        </w:rPr>
        <w:t>725</w:t>
      </w:r>
      <w:r>
        <w:rPr>
          <w:rFonts w:cs="Arial"/>
        </w:rPr>
        <w:tab/>
      </w:r>
      <w:r w:rsidR="00FC0D9A">
        <w:rPr>
          <w:rFonts w:cs="Arial"/>
        </w:rPr>
        <w:t>25,725</w:t>
      </w:r>
    </w:p>
    <w:p w14:paraId="5E441CC7" w14:textId="77777777" w:rsidR="00931CCC" w:rsidRDefault="00931CCC">
      <w:pPr>
        <w:tabs>
          <w:tab w:val="left" w:pos="360"/>
          <w:tab w:val="right" w:pos="7920"/>
          <w:tab w:val="right" w:pos="9240"/>
        </w:tabs>
        <w:spacing w:line="360" w:lineRule="auto"/>
        <w:rPr>
          <w:rFonts w:cs="Arial"/>
          <w:u w:val="single"/>
        </w:rPr>
      </w:pPr>
      <w:r>
        <w:rPr>
          <w:rFonts w:cs="Arial"/>
        </w:rPr>
        <w:tab/>
        <w:t>October to December (</w:t>
      </w:r>
      <w:r w:rsidR="00FC0D9A">
        <w:rPr>
          <w:rFonts w:cs="Arial"/>
        </w:rPr>
        <w:t>98</w:t>
      </w:r>
      <w:r>
        <w:rPr>
          <w:rFonts w:cs="Arial"/>
        </w:rPr>
        <w:t xml:space="preserve">0,000 x </w:t>
      </w:r>
      <w:r w:rsidR="00FC0D9A">
        <w:rPr>
          <w:rFonts w:cs="Arial"/>
        </w:rPr>
        <w:t>9</w:t>
      </w:r>
      <w:r>
        <w:rPr>
          <w:rFonts w:cs="Arial"/>
        </w:rPr>
        <w:t>% x 3/12)</w:t>
      </w:r>
      <w:r>
        <w:rPr>
          <w:rFonts w:cs="Arial"/>
        </w:rPr>
        <w:tab/>
      </w:r>
      <w:r w:rsidR="00FC0D9A">
        <w:rPr>
          <w:rFonts w:cs="Arial"/>
          <w:u w:val="single"/>
        </w:rPr>
        <w:t>22</w:t>
      </w:r>
      <w:r>
        <w:rPr>
          <w:rFonts w:cs="Arial"/>
          <w:u w:val="single"/>
        </w:rPr>
        <w:t>,0</w:t>
      </w:r>
      <w:r w:rsidR="00FC0D9A">
        <w:rPr>
          <w:rFonts w:cs="Arial"/>
          <w:u w:val="single"/>
        </w:rPr>
        <w:t>5</w:t>
      </w:r>
      <w:r>
        <w:rPr>
          <w:rFonts w:cs="Arial"/>
          <w:u w:val="single"/>
        </w:rPr>
        <w:t>0</w:t>
      </w:r>
      <w:r>
        <w:rPr>
          <w:rFonts w:cs="Arial"/>
        </w:rPr>
        <w:tab/>
      </w:r>
      <w:r w:rsidR="00FC0D9A">
        <w:rPr>
          <w:rFonts w:cs="Arial"/>
          <w:u w:val="single"/>
        </w:rPr>
        <w:t>22,050</w:t>
      </w:r>
    </w:p>
    <w:p w14:paraId="5E441CC8" w14:textId="77777777" w:rsidR="00931CCC" w:rsidRDefault="00931CCC">
      <w:pPr>
        <w:tabs>
          <w:tab w:val="left" w:pos="360"/>
          <w:tab w:val="right" w:pos="7920"/>
          <w:tab w:val="right" w:pos="9240"/>
        </w:tabs>
        <w:spacing w:line="360" w:lineRule="auto"/>
        <w:rPr>
          <w:rFonts w:cs="Arial"/>
        </w:rPr>
      </w:pPr>
      <w:r>
        <w:rPr>
          <w:rFonts w:cs="Arial"/>
        </w:rPr>
        <w:tab/>
        <w:t>Accrued interest expensed</w:t>
      </w:r>
      <w:r>
        <w:rPr>
          <w:rFonts w:cs="Arial"/>
        </w:rPr>
        <w:tab/>
      </w:r>
      <w:r w:rsidR="00FC0D9A">
        <w:rPr>
          <w:rFonts w:cs="Arial"/>
        </w:rPr>
        <w:t>47</w:t>
      </w:r>
      <w:r>
        <w:rPr>
          <w:rFonts w:cs="Arial"/>
        </w:rPr>
        <w:t>,</w:t>
      </w:r>
      <w:r w:rsidR="00FC0D9A">
        <w:rPr>
          <w:rFonts w:cs="Arial"/>
        </w:rPr>
        <w:t>775</w:t>
      </w:r>
    </w:p>
    <w:p w14:paraId="5E441CC9" w14:textId="77777777" w:rsidR="00931CCC" w:rsidRDefault="00931CCC">
      <w:pPr>
        <w:tabs>
          <w:tab w:val="left" w:pos="360"/>
          <w:tab w:val="right" w:pos="7920"/>
          <w:tab w:val="right" w:pos="9240"/>
        </w:tabs>
        <w:spacing w:line="360" w:lineRule="auto"/>
        <w:rPr>
          <w:rFonts w:cs="Arial"/>
        </w:rPr>
      </w:pPr>
      <w:r>
        <w:rPr>
          <w:rFonts w:cs="Arial"/>
        </w:rPr>
        <w:tab/>
        <w:t>Accrued interest capitalized</w:t>
      </w:r>
      <w:r>
        <w:rPr>
          <w:rFonts w:cs="Arial"/>
        </w:rPr>
        <w:tab/>
      </w:r>
      <w:r>
        <w:rPr>
          <w:rFonts w:cs="Arial"/>
        </w:rPr>
        <w:tab/>
      </w:r>
      <w:r w:rsidR="00FC0D9A">
        <w:rPr>
          <w:rFonts w:cs="Arial"/>
        </w:rPr>
        <w:t>47,775</w:t>
      </w:r>
    </w:p>
    <w:p w14:paraId="5E441CCA" w14:textId="77777777" w:rsidR="00931CCC" w:rsidRDefault="00931CCC">
      <w:pPr>
        <w:tabs>
          <w:tab w:val="left" w:pos="360"/>
          <w:tab w:val="right" w:pos="7920"/>
          <w:tab w:val="right" w:pos="9240"/>
        </w:tabs>
        <w:spacing w:line="360" w:lineRule="auto"/>
        <w:rPr>
          <w:rFonts w:cs="Arial"/>
        </w:rPr>
      </w:pPr>
      <w:r>
        <w:rPr>
          <w:rFonts w:cs="Arial"/>
        </w:rPr>
        <w:tab/>
        <w:t xml:space="preserve">After tax expense (x </w:t>
      </w:r>
      <w:r w:rsidR="00FC0D9A">
        <w:rPr>
          <w:rFonts w:cs="Arial"/>
        </w:rPr>
        <w:t>0</w:t>
      </w:r>
      <w:r>
        <w:rPr>
          <w:rFonts w:cs="Arial"/>
        </w:rPr>
        <w:t>.6)</w:t>
      </w:r>
      <w:r>
        <w:rPr>
          <w:rFonts w:cs="Arial"/>
        </w:rPr>
        <w:tab/>
      </w:r>
      <w:r w:rsidR="00FC0D9A">
        <w:rPr>
          <w:rFonts w:cs="Arial"/>
        </w:rPr>
        <w:t>28</w:t>
      </w:r>
      <w:r>
        <w:rPr>
          <w:rFonts w:cs="Arial"/>
        </w:rPr>
        <w:t>,6</w:t>
      </w:r>
      <w:r w:rsidR="00FC0D9A">
        <w:rPr>
          <w:rFonts w:cs="Arial"/>
        </w:rPr>
        <w:t>65</w:t>
      </w:r>
    </w:p>
    <w:p w14:paraId="5E441CCB" w14:textId="77777777" w:rsidR="00931CCC" w:rsidRDefault="00931CCC">
      <w:pPr>
        <w:tabs>
          <w:tab w:val="left" w:pos="360"/>
          <w:tab w:val="right" w:pos="7920"/>
          <w:tab w:val="right" w:pos="9240"/>
        </w:tabs>
        <w:spacing w:line="360" w:lineRule="auto"/>
        <w:rPr>
          <w:rFonts w:cs="Arial"/>
        </w:rPr>
      </w:pPr>
      <w:r>
        <w:rPr>
          <w:rFonts w:cs="Arial"/>
        </w:rPr>
        <w:t>3.  Actuarial gains</w:t>
      </w:r>
      <w:r>
        <w:rPr>
          <w:rFonts w:cs="Arial"/>
        </w:rPr>
        <w:tab/>
      </w:r>
    </w:p>
    <w:p w14:paraId="5E441CCC" w14:textId="77777777" w:rsidR="00931CCC" w:rsidRDefault="00FC0D9A">
      <w:pPr>
        <w:tabs>
          <w:tab w:val="left" w:pos="360"/>
          <w:tab w:val="right" w:pos="7920"/>
          <w:tab w:val="right" w:pos="9240"/>
        </w:tabs>
        <w:spacing w:line="360" w:lineRule="auto"/>
        <w:rPr>
          <w:rFonts w:cs="Arial"/>
        </w:rPr>
      </w:pPr>
      <w:r>
        <w:rPr>
          <w:rFonts w:cs="Arial"/>
        </w:rPr>
        <w:tab/>
      </w:r>
      <w:r w:rsidR="00931CCC">
        <w:rPr>
          <w:rFonts w:cs="Arial"/>
        </w:rPr>
        <w:t>Recognized immediately in net income</w:t>
      </w:r>
      <w:r w:rsidR="00931CCC">
        <w:rPr>
          <w:rFonts w:cs="Arial"/>
        </w:rPr>
        <w:tab/>
        <w:t>1</w:t>
      </w:r>
      <w:r>
        <w:rPr>
          <w:rFonts w:cs="Arial"/>
        </w:rPr>
        <w:t>63</w:t>
      </w:r>
      <w:r w:rsidR="00931CCC">
        <w:rPr>
          <w:rFonts w:cs="Arial"/>
        </w:rPr>
        <w:t>,</w:t>
      </w:r>
      <w:r>
        <w:rPr>
          <w:rFonts w:cs="Arial"/>
        </w:rPr>
        <w:t>5</w:t>
      </w:r>
      <w:r w:rsidR="00931CCC">
        <w:rPr>
          <w:rFonts w:cs="Arial"/>
        </w:rPr>
        <w:t>00</w:t>
      </w:r>
      <w:r w:rsidR="00931CCC">
        <w:rPr>
          <w:rFonts w:cs="Arial"/>
        </w:rPr>
        <w:tab/>
      </w:r>
    </w:p>
    <w:p w14:paraId="5E441CCD" w14:textId="77777777" w:rsidR="00931CCC" w:rsidRDefault="00931CCC">
      <w:pPr>
        <w:tabs>
          <w:tab w:val="left" w:pos="360"/>
          <w:tab w:val="right" w:pos="7920"/>
          <w:tab w:val="right" w:pos="9240"/>
        </w:tabs>
        <w:spacing w:line="360" w:lineRule="auto"/>
        <w:rPr>
          <w:rFonts w:cs="Arial"/>
        </w:rPr>
      </w:pPr>
      <w:r>
        <w:rPr>
          <w:rFonts w:cs="Arial"/>
        </w:rPr>
        <w:t xml:space="preserve">     Recognized immediately in OCI</w:t>
      </w:r>
      <w:r>
        <w:rPr>
          <w:rFonts w:cs="Arial"/>
        </w:rPr>
        <w:tab/>
      </w:r>
      <w:r>
        <w:rPr>
          <w:rFonts w:cs="Arial"/>
        </w:rPr>
        <w:tab/>
      </w:r>
      <w:r w:rsidR="00FC0D9A">
        <w:rPr>
          <w:rFonts w:cs="Arial"/>
        </w:rPr>
        <w:t>163,500</w:t>
      </w:r>
    </w:p>
    <w:p w14:paraId="5E441CCE" w14:textId="77777777" w:rsidR="00931CCC" w:rsidRDefault="00931CCC">
      <w:pPr>
        <w:tabs>
          <w:tab w:val="left" w:pos="360"/>
          <w:tab w:val="right" w:pos="7920"/>
          <w:tab w:val="right" w:pos="9240"/>
        </w:tabs>
        <w:spacing w:line="360" w:lineRule="auto"/>
        <w:rPr>
          <w:rFonts w:cs="Arial"/>
        </w:rPr>
      </w:pPr>
      <w:r>
        <w:rPr>
          <w:rFonts w:cs="Arial"/>
        </w:rPr>
        <w:tab/>
        <w:t xml:space="preserve">After tax gain (x </w:t>
      </w:r>
      <w:r w:rsidR="00FC0D9A">
        <w:rPr>
          <w:rFonts w:cs="Arial"/>
        </w:rPr>
        <w:t>0</w:t>
      </w:r>
      <w:r>
        <w:rPr>
          <w:rFonts w:cs="Arial"/>
        </w:rPr>
        <w:t>.6)</w:t>
      </w:r>
      <w:r>
        <w:rPr>
          <w:rFonts w:cs="Arial"/>
        </w:rPr>
        <w:tab/>
        <w:t>9</w:t>
      </w:r>
      <w:r w:rsidR="00FC0D9A">
        <w:rPr>
          <w:rFonts w:cs="Arial"/>
        </w:rPr>
        <w:t>8</w:t>
      </w:r>
      <w:r>
        <w:rPr>
          <w:rFonts w:cs="Arial"/>
        </w:rPr>
        <w:t>,</w:t>
      </w:r>
      <w:r w:rsidR="00FC0D9A">
        <w:rPr>
          <w:rFonts w:cs="Arial"/>
        </w:rPr>
        <w:t>1</w:t>
      </w:r>
      <w:r>
        <w:rPr>
          <w:rFonts w:cs="Arial"/>
        </w:rPr>
        <w:t>00</w:t>
      </w:r>
      <w:r>
        <w:rPr>
          <w:rFonts w:cs="Arial"/>
        </w:rPr>
        <w:tab/>
      </w:r>
      <w:r w:rsidR="00FC0D9A">
        <w:rPr>
          <w:rFonts w:cs="Arial"/>
        </w:rPr>
        <w:t>98,100</w:t>
      </w:r>
    </w:p>
    <w:p w14:paraId="5E441CCF" w14:textId="77777777" w:rsidR="00931CCC" w:rsidRDefault="00931CCC" w:rsidP="00480113">
      <w:pPr>
        <w:pStyle w:val="BodyTextIndent3"/>
        <w:tabs>
          <w:tab w:val="left" w:pos="360"/>
          <w:tab w:val="left" w:pos="540"/>
          <w:tab w:val="left" w:pos="630"/>
          <w:tab w:val="left" w:pos="720"/>
          <w:tab w:val="left" w:pos="1800"/>
        </w:tabs>
        <w:ind w:left="0" w:firstLine="0"/>
        <w:rPr>
          <w:rFonts w:cs="Arial"/>
        </w:rPr>
      </w:pPr>
      <w:r>
        <w:rPr>
          <w:rFonts w:cs="Arial"/>
        </w:rPr>
        <w:lastRenderedPageBreak/>
        <w:t>4.</w:t>
      </w:r>
      <w:r>
        <w:rPr>
          <w:rFonts w:cs="Arial"/>
        </w:rPr>
        <w:tab/>
        <w:t>Compound financial instrument</w:t>
      </w:r>
    </w:p>
    <w:p w14:paraId="5E441CD0" w14:textId="77777777" w:rsidR="00931CCC" w:rsidRDefault="00931CCC">
      <w:pPr>
        <w:tabs>
          <w:tab w:val="left" w:pos="360"/>
          <w:tab w:val="right" w:pos="7920"/>
          <w:tab w:val="right" w:pos="9240"/>
        </w:tabs>
        <w:spacing w:line="360" w:lineRule="auto"/>
        <w:rPr>
          <w:rFonts w:cs="Arial"/>
        </w:rPr>
      </w:pPr>
      <w:r>
        <w:rPr>
          <w:rFonts w:cs="Arial"/>
        </w:rPr>
        <w:tab/>
        <w:t>Value of conversion option (1,</w:t>
      </w:r>
      <w:r w:rsidR="00FC0D9A">
        <w:rPr>
          <w:rFonts w:cs="Arial"/>
        </w:rPr>
        <w:t>180</w:t>
      </w:r>
      <w:r>
        <w:rPr>
          <w:rFonts w:cs="Arial"/>
        </w:rPr>
        <w:t xml:space="preserve">,000 – </w:t>
      </w:r>
      <w:r w:rsidR="00FC0D9A">
        <w:rPr>
          <w:rFonts w:cs="Arial"/>
        </w:rPr>
        <w:t>1,112</w:t>
      </w:r>
      <w:r>
        <w:rPr>
          <w:rFonts w:cs="Arial"/>
        </w:rPr>
        <w:t>,000)</w:t>
      </w:r>
      <w:r>
        <w:rPr>
          <w:rFonts w:cs="Arial"/>
        </w:rPr>
        <w:tab/>
      </w:r>
      <w:r w:rsidR="00FC0D9A">
        <w:rPr>
          <w:rFonts w:cs="Arial"/>
        </w:rPr>
        <w:t>68</w:t>
      </w:r>
      <w:r>
        <w:rPr>
          <w:rFonts w:cs="Arial"/>
        </w:rPr>
        <w:t>,000</w:t>
      </w:r>
      <w:r>
        <w:rPr>
          <w:rFonts w:cs="Arial"/>
        </w:rPr>
        <w:tab/>
      </w:r>
      <w:r w:rsidR="00FC0D9A">
        <w:rPr>
          <w:rFonts w:cs="Arial"/>
        </w:rPr>
        <w:t>68</w:t>
      </w:r>
      <w:r>
        <w:rPr>
          <w:rFonts w:cs="Arial"/>
        </w:rPr>
        <w:t>,000</w:t>
      </w:r>
    </w:p>
    <w:p w14:paraId="5E441CD1" w14:textId="77777777" w:rsidR="00931CCC" w:rsidRDefault="00931CCC">
      <w:pPr>
        <w:tabs>
          <w:tab w:val="left" w:pos="360"/>
          <w:tab w:val="right" w:pos="7920"/>
          <w:tab w:val="right" w:pos="9240"/>
        </w:tabs>
        <w:spacing w:line="360" w:lineRule="auto"/>
        <w:rPr>
          <w:rFonts w:cs="Arial"/>
        </w:rPr>
      </w:pPr>
      <w:r>
        <w:rPr>
          <w:rFonts w:cs="Arial"/>
        </w:rPr>
        <w:tab/>
        <w:t>Not taxable since it does not affect net income</w:t>
      </w:r>
    </w:p>
    <w:p w14:paraId="5E441CD2" w14:textId="77777777" w:rsidR="00931CCC" w:rsidRDefault="00931CCC">
      <w:pPr>
        <w:tabs>
          <w:tab w:val="left" w:pos="360"/>
          <w:tab w:val="right" w:pos="7920"/>
          <w:tab w:val="right" w:pos="9240"/>
        </w:tabs>
        <w:spacing w:line="360" w:lineRule="auto"/>
        <w:rPr>
          <w:rFonts w:cs="Arial"/>
        </w:rPr>
      </w:pPr>
      <w:r>
        <w:rPr>
          <w:rFonts w:cs="Arial"/>
        </w:rPr>
        <w:t>5.</w:t>
      </w:r>
      <w:r>
        <w:rPr>
          <w:rFonts w:cs="Arial"/>
        </w:rPr>
        <w:tab/>
        <w:t>Income tax</w:t>
      </w:r>
    </w:p>
    <w:p w14:paraId="5E441CD3" w14:textId="77777777" w:rsidR="00931CCC" w:rsidRDefault="00931CCC">
      <w:pPr>
        <w:tabs>
          <w:tab w:val="left" w:pos="360"/>
          <w:tab w:val="right" w:pos="7920"/>
          <w:tab w:val="right" w:pos="9240"/>
        </w:tabs>
        <w:spacing w:line="360" w:lineRule="auto"/>
        <w:rPr>
          <w:rFonts w:cs="Arial"/>
        </w:rPr>
      </w:pPr>
      <w:r>
        <w:rPr>
          <w:rFonts w:cs="Arial"/>
        </w:rPr>
        <w:tab/>
        <w:t>Future income tax expense for Year 5 (</w:t>
      </w:r>
      <w:r w:rsidR="00FC0D9A">
        <w:rPr>
          <w:rFonts w:cs="Arial"/>
        </w:rPr>
        <w:t>358</w:t>
      </w:r>
      <w:r>
        <w:rPr>
          <w:rFonts w:cs="Arial"/>
        </w:rPr>
        <w:t xml:space="preserve">,000 – </w:t>
      </w:r>
      <w:r w:rsidR="00FC0D9A">
        <w:rPr>
          <w:rFonts w:cs="Arial"/>
        </w:rPr>
        <w:t>309</w:t>
      </w:r>
      <w:r>
        <w:rPr>
          <w:rFonts w:cs="Arial"/>
        </w:rPr>
        <w:t>,000)</w:t>
      </w:r>
      <w:r>
        <w:rPr>
          <w:rFonts w:cs="Arial"/>
        </w:rPr>
        <w:tab/>
      </w:r>
      <w:r w:rsidR="00FC0D9A">
        <w:rPr>
          <w:rFonts w:cs="Arial"/>
        </w:rPr>
        <w:t>49</w:t>
      </w:r>
      <w:r>
        <w:rPr>
          <w:rFonts w:cs="Arial"/>
        </w:rPr>
        <w:t>,000</w:t>
      </w:r>
      <w:r>
        <w:rPr>
          <w:rFonts w:cs="Arial"/>
        </w:rPr>
        <w:tab/>
      </w:r>
      <w:r w:rsidR="00FC0D9A">
        <w:rPr>
          <w:rFonts w:cs="Arial"/>
        </w:rPr>
        <w:t>49</w:t>
      </w:r>
      <w:r>
        <w:rPr>
          <w:rFonts w:cs="Arial"/>
        </w:rPr>
        <w:t>,000</w:t>
      </w:r>
    </w:p>
    <w:p w14:paraId="5E441CD4" w14:textId="77777777" w:rsidR="00931CCC" w:rsidRDefault="00931CCC">
      <w:pPr>
        <w:tabs>
          <w:tab w:val="left" w:pos="360"/>
          <w:tab w:val="right" w:pos="7920"/>
          <w:tab w:val="right" w:pos="9240"/>
        </w:tabs>
        <w:spacing w:line="360" w:lineRule="auto"/>
        <w:rPr>
          <w:rFonts w:cs="Arial"/>
        </w:rPr>
      </w:pPr>
      <w:r>
        <w:rPr>
          <w:rFonts w:cs="Arial"/>
        </w:rPr>
        <w:tab/>
        <w:t>Future income tax expense for all years</w:t>
      </w:r>
      <w:r>
        <w:rPr>
          <w:rFonts w:cs="Arial"/>
        </w:rPr>
        <w:tab/>
      </w:r>
      <w:r w:rsidR="00FC0D9A">
        <w:rPr>
          <w:rFonts w:cs="Arial"/>
        </w:rPr>
        <w:t>358</w:t>
      </w:r>
      <w:r>
        <w:rPr>
          <w:rFonts w:cs="Arial"/>
        </w:rPr>
        <w:t>,000</w:t>
      </w:r>
      <w:r>
        <w:rPr>
          <w:rFonts w:cs="Arial"/>
        </w:rPr>
        <w:tab/>
      </w:r>
      <w:r w:rsidR="00FC0D9A">
        <w:rPr>
          <w:rFonts w:cs="Arial"/>
        </w:rPr>
        <w:t>358</w:t>
      </w:r>
      <w:r>
        <w:rPr>
          <w:rFonts w:cs="Arial"/>
        </w:rPr>
        <w:t>,000</w:t>
      </w:r>
    </w:p>
    <w:p w14:paraId="5E441CD5" w14:textId="77777777" w:rsidR="00931CCC" w:rsidRDefault="00931CCC">
      <w:pPr>
        <w:tabs>
          <w:tab w:val="left" w:pos="360"/>
          <w:tab w:val="right" w:pos="7920"/>
          <w:tab w:val="right" w:pos="9240"/>
        </w:tabs>
        <w:spacing w:line="360" w:lineRule="auto"/>
        <w:rPr>
          <w:rFonts w:cs="Arial"/>
        </w:rPr>
      </w:pPr>
    </w:p>
    <w:p w14:paraId="5E441CD6" w14:textId="77777777" w:rsidR="00931CCC" w:rsidRDefault="00931CCC">
      <w:pPr>
        <w:pStyle w:val="BodyTextIndent3"/>
        <w:tabs>
          <w:tab w:val="left" w:pos="540"/>
          <w:tab w:val="left" w:pos="630"/>
          <w:tab w:val="left" w:pos="720"/>
          <w:tab w:val="left" w:pos="1800"/>
        </w:tabs>
        <w:ind w:left="930"/>
        <w:rPr>
          <w:rFonts w:cs="Arial"/>
          <w:b/>
          <w:bCs/>
          <w:sz w:val="28"/>
          <w:highlight w:val="yellow"/>
        </w:rPr>
      </w:pPr>
      <w:r>
        <w:rPr>
          <w:rFonts w:cs="Arial"/>
          <w:b/>
          <w:bCs/>
          <w:sz w:val="28"/>
        </w:rPr>
        <w:t>Problem 1-4</w:t>
      </w:r>
    </w:p>
    <w:p w14:paraId="6EDB1D33" w14:textId="77777777" w:rsidR="00C33D94" w:rsidRPr="002A2F20" w:rsidRDefault="00C33D94" w:rsidP="00C33D94">
      <w:pPr>
        <w:pStyle w:val="ListParagraph"/>
        <w:numPr>
          <w:ilvl w:val="0"/>
          <w:numId w:val="59"/>
        </w:numPr>
        <w:spacing w:line="360" w:lineRule="auto"/>
        <w:rPr>
          <w:rFonts w:cs="Arial"/>
          <w:szCs w:val="22"/>
        </w:rPr>
      </w:pPr>
      <w:proofErr w:type="spellStart"/>
      <w:r w:rsidRPr="002A2F20">
        <w:rPr>
          <w:rFonts w:cs="Arial"/>
          <w:szCs w:val="22"/>
        </w:rPr>
        <w:t>i</w:t>
      </w:r>
      <w:proofErr w:type="spellEnd"/>
      <w:r w:rsidRPr="002A2F20">
        <w:rPr>
          <w:rFonts w:cs="Arial"/>
          <w:szCs w:val="22"/>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8"/>
        <w:gridCol w:w="342"/>
        <w:gridCol w:w="720"/>
        <w:gridCol w:w="720"/>
        <w:gridCol w:w="314"/>
        <w:gridCol w:w="1453"/>
        <w:gridCol w:w="45"/>
      </w:tblGrid>
      <w:tr w:rsidR="00C33D94" w:rsidRPr="006C0405" w14:paraId="724DFDDE" w14:textId="77777777" w:rsidTr="000029BA">
        <w:trPr>
          <w:tblCellSpacing w:w="15" w:type="dxa"/>
        </w:trPr>
        <w:tc>
          <w:tcPr>
            <w:tcW w:w="0" w:type="auto"/>
            <w:gridSpan w:val="7"/>
            <w:vAlign w:val="center"/>
            <w:hideMark/>
          </w:tcPr>
          <w:p w14:paraId="66FC2616" w14:textId="77777777" w:rsidR="00C33D94" w:rsidRPr="006C0405" w:rsidRDefault="00C33D94" w:rsidP="000029BA">
            <w:pPr>
              <w:spacing w:line="360" w:lineRule="auto"/>
              <w:rPr>
                <w:rFonts w:cs="Arial"/>
                <w:szCs w:val="22"/>
              </w:rPr>
            </w:pPr>
            <w:r w:rsidRPr="006C0405">
              <w:rPr>
                <w:rFonts w:cs="Arial"/>
                <w:b/>
                <w:bCs/>
                <w:szCs w:val="22"/>
              </w:rPr>
              <w:t>BALANCE SHEETS</w:t>
            </w:r>
          </w:p>
        </w:tc>
      </w:tr>
      <w:tr w:rsidR="00C33D94" w:rsidRPr="006C0405" w14:paraId="2463CE31" w14:textId="77777777" w:rsidTr="000029BA">
        <w:trPr>
          <w:tblCellSpacing w:w="15" w:type="dxa"/>
        </w:trPr>
        <w:tc>
          <w:tcPr>
            <w:tcW w:w="0" w:type="auto"/>
            <w:vAlign w:val="center"/>
            <w:hideMark/>
          </w:tcPr>
          <w:p w14:paraId="351132B9" w14:textId="77777777" w:rsidR="00C33D94" w:rsidRPr="006C0405" w:rsidRDefault="00C33D94" w:rsidP="000029BA">
            <w:pPr>
              <w:spacing w:line="360" w:lineRule="auto"/>
              <w:rPr>
                <w:rFonts w:cs="Arial"/>
                <w:szCs w:val="22"/>
              </w:rPr>
            </w:pPr>
            <w:r w:rsidRPr="006C0405">
              <w:rPr>
                <w:rFonts w:cs="Arial"/>
                <w:szCs w:val="22"/>
              </w:rPr>
              <w:t> </w:t>
            </w:r>
          </w:p>
        </w:tc>
        <w:tc>
          <w:tcPr>
            <w:tcW w:w="0" w:type="auto"/>
            <w:gridSpan w:val="4"/>
            <w:vAlign w:val="center"/>
            <w:hideMark/>
          </w:tcPr>
          <w:p w14:paraId="6FD3AD75" w14:textId="77777777" w:rsidR="00C33D94" w:rsidRPr="006C0405" w:rsidRDefault="00C33D94" w:rsidP="000029BA">
            <w:pPr>
              <w:spacing w:line="360" w:lineRule="auto"/>
              <w:rPr>
                <w:rFonts w:cs="Arial"/>
                <w:szCs w:val="22"/>
              </w:rPr>
            </w:pPr>
            <w:r w:rsidRPr="002A2F20">
              <w:rPr>
                <w:rFonts w:cs="Arial"/>
                <w:i/>
                <w:iCs/>
                <w:szCs w:val="22"/>
              </w:rPr>
              <w:t xml:space="preserve">         </w:t>
            </w:r>
            <w:r w:rsidRPr="006C0405">
              <w:rPr>
                <w:rFonts w:cs="Arial"/>
                <w:i/>
                <w:iCs/>
                <w:szCs w:val="22"/>
              </w:rPr>
              <w:t>Year 7</w:t>
            </w:r>
          </w:p>
        </w:tc>
        <w:tc>
          <w:tcPr>
            <w:tcW w:w="0" w:type="auto"/>
            <w:gridSpan w:val="2"/>
            <w:vAlign w:val="center"/>
            <w:hideMark/>
          </w:tcPr>
          <w:p w14:paraId="26B261EF" w14:textId="77777777" w:rsidR="00C33D94" w:rsidRPr="006C0405" w:rsidRDefault="00C33D94" w:rsidP="000029BA">
            <w:pPr>
              <w:spacing w:line="360" w:lineRule="auto"/>
              <w:rPr>
                <w:rFonts w:cs="Arial"/>
                <w:szCs w:val="22"/>
              </w:rPr>
            </w:pPr>
            <w:r w:rsidRPr="002A2F20">
              <w:rPr>
                <w:rFonts w:cs="Arial"/>
                <w:i/>
                <w:iCs/>
                <w:szCs w:val="22"/>
              </w:rPr>
              <w:t xml:space="preserve">     </w:t>
            </w:r>
            <w:r w:rsidRPr="006C0405">
              <w:rPr>
                <w:rFonts w:cs="Arial"/>
                <w:i/>
                <w:iCs/>
                <w:szCs w:val="22"/>
              </w:rPr>
              <w:t>Year 6</w:t>
            </w:r>
          </w:p>
        </w:tc>
      </w:tr>
      <w:tr w:rsidR="00C33D94" w:rsidRPr="006C0405" w14:paraId="74BBCD07" w14:textId="77777777" w:rsidTr="000029BA">
        <w:trPr>
          <w:tblCellSpacing w:w="15" w:type="dxa"/>
        </w:trPr>
        <w:tc>
          <w:tcPr>
            <w:tcW w:w="0" w:type="auto"/>
            <w:vAlign w:val="center"/>
            <w:hideMark/>
          </w:tcPr>
          <w:p w14:paraId="23E9E267" w14:textId="77777777" w:rsidR="00C33D94" w:rsidRPr="006C0405" w:rsidRDefault="00C33D94" w:rsidP="000029BA">
            <w:pPr>
              <w:spacing w:line="360" w:lineRule="auto"/>
              <w:rPr>
                <w:rFonts w:cs="Arial"/>
                <w:szCs w:val="22"/>
              </w:rPr>
            </w:pPr>
            <w:r w:rsidRPr="006C0405">
              <w:rPr>
                <w:rFonts w:cs="Arial"/>
                <w:i/>
                <w:iCs/>
                <w:szCs w:val="22"/>
              </w:rPr>
              <w:t>Assets</w:t>
            </w:r>
          </w:p>
        </w:tc>
        <w:tc>
          <w:tcPr>
            <w:tcW w:w="0" w:type="auto"/>
            <w:gridSpan w:val="4"/>
            <w:vAlign w:val="center"/>
            <w:hideMark/>
          </w:tcPr>
          <w:p w14:paraId="5E9F5086" w14:textId="77777777" w:rsidR="00C33D94" w:rsidRPr="006C0405" w:rsidRDefault="00C33D94" w:rsidP="000029BA">
            <w:pPr>
              <w:spacing w:line="360" w:lineRule="auto"/>
              <w:rPr>
                <w:rFonts w:cs="Arial"/>
                <w:szCs w:val="22"/>
              </w:rPr>
            </w:pPr>
            <w:r w:rsidRPr="006C0405">
              <w:rPr>
                <w:rFonts w:cs="Arial"/>
                <w:szCs w:val="22"/>
              </w:rPr>
              <w:t> </w:t>
            </w:r>
          </w:p>
        </w:tc>
        <w:tc>
          <w:tcPr>
            <w:tcW w:w="0" w:type="auto"/>
            <w:gridSpan w:val="2"/>
            <w:vAlign w:val="center"/>
            <w:hideMark/>
          </w:tcPr>
          <w:p w14:paraId="20E10CFB" w14:textId="77777777" w:rsidR="00C33D94" w:rsidRPr="006C0405" w:rsidRDefault="00C33D94" w:rsidP="000029BA">
            <w:pPr>
              <w:spacing w:line="360" w:lineRule="auto"/>
              <w:rPr>
                <w:rFonts w:cs="Arial"/>
                <w:szCs w:val="22"/>
              </w:rPr>
            </w:pPr>
            <w:r w:rsidRPr="006C0405">
              <w:rPr>
                <w:rFonts w:cs="Arial"/>
                <w:szCs w:val="22"/>
              </w:rPr>
              <w:t> </w:t>
            </w:r>
          </w:p>
        </w:tc>
      </w:tr>
      <w:tr w:rsidR="00C33D94" w:rsidRPr="006C0405" w14:paraId="3D9C86DC" w14:textId="77777777" w:rsidTr="000029BA">
        <w:trPr>
          <w:gridAfter w:val="1"/>
          <w:tblCellSpacing w:w="15" w:type="dxa"/>
        </w:trPr>
        <w:tc>
          <w:tcPr>
            <w:tcW w:w="0" w:type="auto"/>
            <w:vAlign w:val="center"/>
            <w:hideMark/>
          </w:tcPr>
          <w:p w14:paraId="63B56932" w14:textId="77777777" w:rsidR="00C33D94" w:rsidRPr="006C0405" w:rsidRDefault="00C33D94" w:rsidP="000029BA">
            <w:pPr>
              <w:spacing w:line="360" w:lineRule="auto"/>
              <w:rPr>
                <w:rFonts w:cs="Arial"/>
                <w:szCs w:val="22"/>
              </w:rPr>
            </w:pPr>
            <w:r w:rsidRPr="006C0405">
              <w:rPr>
                <w:rFonts w:cs="Arial"/>
                <w:szCs w:val="22"/>
              </w:rPr>
              <w:t>Cash</w:t>
            </w:r>
          </w:p>
        </w:tc>
        <w:tc>
          <w:tcPr>
            <w:tcW w:w="0" w:type="auto"/>
            <w:gridSpan w:val="4"/>
            <w:vAlign w:val="center"/>
            <w:hideMark/>
          </w:tcPr>
          <w:p w14:paraId="4191937B" w14:textId="77777777" w:rsidR="00C33D94" w:rsidRPr="006C0405" w:rsidRDefault="00C33D94" w:rsidP="000029BA">
            <w:pPr>
              <w:tabs>
                <w:tab w:val="decimal" w:pos="1128"/>
              </w:tabs>
              <w:spacing w:line="360" w:lineRule="auto"/>
              <w:rPr>
                <w:rFonts w:cs="Arial"/>
                <w:szCs w:val="22"/>
              </w:rPr>
            </w:pPr>
            <w:r w:rsidRPr="006C0405">
              <w:rPr>
                <w:rFonts w:cs="Arial"/>
                <w:szCs w:val="22"/>
              </w:rPr>
              <w:t>    </w:t>
            </w:r>
            <w:r w:rsidRPr="002A2F20">
              <w:rPr>
                <w:rFonts w:cs="Arial"/>
                <w:szCs w:val="22"/>
              </w:rPr>
              <w:t>1</w:t>
            </w:r>
          </w:p>
        </w:tc>
        <w:tc>
          <w:tcPr>
            <w:tcW w:w="1423" w:type="dxa"/>
            <w:vAlign w:val="center"/>
            <w:hideMark/>
          </w:tcPr>
          <w:p w14:paraId="08D3BA3E" w14:textId="77777777" w:rsidR="00C33D94" w:rsidRPr="006C0405" w:rsidRDefault="00C33D94" w:rsidP="000029BA">
            <w:pPr>
              <w:tabs>
                <w:tab w:val="right" w:pos="978"/>
              </w:tabs>
              <w:spacing w:line="360" w:lineRule="auto"/>
              <w:rPr>
                <w:rFonts w:cs="Arial"/>
                <w:szCs w:val="22"/>
              </w:rPr>
            </w:pPr>
            <w:r w:rsidRPr="002A2F20">
              <w:rPr>
                <w:rFonts w:cs="Arial"/>
                <w:szCs w:val="22"/>
              </w:rPr>
              <w:tab/>
              <w:t>2</w:t>
            </w:r>
          </w:p>
        </w:tc>
      </w:tr>
      <w:tr w:rsidR="00C33D94" w:rsidRPr="006C0405" w14:paraId="426F3BAE" w14:textId="77777777" w:rsidTr="000029BA">
        <w:trPr>
          <w:gridAfter w:val="1"/>
          <w:tblCellSpacing w:w="15" w:type="dxa"/>
        </w:trPr>
        <w:tc>
          <w:tcPr>
            <w:tcW w:w="0" w:type="auto"/>
            <w:vAlign w:val="center"/>
            <w:hideMark/>
          </w:tcPr>
          <w:p w14:paraId="38EE7173" w14:textId="77777777" w:rsidR="00C33D94" w:rsidRPr="006C0405" w:rsidRDefault="00C33D94" w:rsidP="000029BA">
            <w:pPr>
              <w:spacing w:line="360" w:lineRule="auto"/>
              <w:rPr>
                <w:rFonts w:cs="Arial"/>
                <w:szCs w:val="22"/>
              </w:rPr>
            </w:pPr>
            <w:r w:rsidRPr="006C0405">
              <w:rPr>
                <w:rFonts w:cs="Arial"/>
                <w:szCs w:val="22"/>
              </w:rPr>
              <w:t>Accounts receivable</w:t>
            </w:r>
          </w:p>
        </w:tc>
        <w:tc>
          <w:tcPr>
            <w:tcW w:w="0" w:type="auto"/>
            <w:gridSpan w:val="4"/>
            <w:vAlign w:val="center"/>
            <w:hideMark/>
          </w:tcPr>
          <w:p w14:paraId="2E832637" w14:textId="77777777" w:rsidR="00C33D94" w:rsidRPr="006C0405" w:rsidRDefault="00C33D94" w:rsidP="000029BA">
            <w:pPr>
              <w:tabs>
                <w:tab w:val="decimal" w:pos="1128"/>
              </w:tabs>
              <w:spacing w:line="360" w:lineRule="auto"/>
              <w:rPr>
                <w:rFonts w:cs="Arial"/>
                <w:szCs w:val="22"/>
              </w:rPr>
            </w:pPr>
            <w:r w:rsidRPr="002A2F20">
              <w:rPr>
                <w:rFonts w:cs="Arial"/>
                <w:szCs w:val="22"/>
              </w:rPr>
              <w:t>23</w:t>
            </w:r>
          </w:p>
        </w:tc>
        <w:tc>
          <w:tcPr>
            <w:tcW w:w="1423" w:type="dxa"/>
            <w:vAlign w:val="center"/>
            <w:hideMark/>
          </w:tcPr>
          <w:p w14:paraId="785DD2DC" w14:textId="77777777" w:rsidR="00C33D94" w:rsidRPr="006C0405" w:rsidRDefault="00C33D94" w:rsidP="000029BA">
            <w:pPr>
              <w:tabs>
                <w:tab w:val="right" w:pos="978"/>
              </w:tabs>
              <w:spacing w:line="360" w:lineRule="auto"/>
              <w:rPr>
                <w:rFonts w:cs="Arial"/>
                <w:szCs w:val="22"/>
              </w:rPr>
            </w:pPr>
            <w:r w:rsidRPr="002A2F20">
              <w:rPr>
                <w:rFonts w:cs="Arial"/>
                <w:szCs w:val="22"/>
              </w:rPr>
              <w:tab/>
              <w:t>25</w:t>
            </w:r>
          </w:p>
        </w:tc>
      </w:tr>
      <w:tr w:rsidR="00C33D94" w:rsidRPr="006C0405" w14:paraId="3E08214B" w14:textId="77777777" w:rsidTr="000029BA">
        <w:trPr>
          <w:gridAfter w:val="1"/>
          <w:tblCellSpacing w:w="15" w:type="dxa"/>
        </w:trPr>
        <w:tc>
          <w:tcPr>
            <w:tcW w:w="0" w:type="auto"/>
            <w:vAlign w:val="center"/>
            <w:hideMark/>
          </w:tcPr>
          <w:p w14:paraId="4051627E" w14:textId="77777777" w:rsidR="00C33D94" w:rsidRPr="006C0405" w:rsidRDefault="00C33D94" w:rsidP="000029BA">
            <w:pPr>
              <w:spacing w:line="360" w:lineRule="auto"/>
              <w:rPr>
                <w:rFonts w:cs="Arial"/>
                <w:szCs w:val="22"/>
              </w:rPr>
            </w:pPr>
            <w:r w:rsidRPr="006C0405">
              <w:rPr>
                <w:rFonts w:cs="Arial"/>
                <w:szCs w:val="22"/>
              </w:rPr>
              <w:t>Inventory</w:t>
            </w:r>
          </w:p>
        </w:tc>
        <w:tc>
          <w:tcPr>
            <w:tcW w:w="0" w:type="auto"/>
            <w:gridSpan w:val="4"/>
            <w:vAlign w:val="center"/>
            <w:hideMark/>
          </w:tcPr>
          <w:p w14:paraId="0D3C6547" w14:textId="77777777" w:rsidR="00C33D94" w:rsidRPr="006C0405" w:rsidRDefault="00C33D94" w:rsidP="000029BA">
            <w:pPr>
              <w:tabs>
                <w:tab w:val="decimal" w:pos="1128"/>
              </w:tabs>
              <w:spacing w:line="360" w:lineRule="auto"/>
              <w:rPr>
                <w:rFonts w:cs="Arial"/>
                <w:szCs w:val="22"/>
              </w:rPr>
            </w:pPr>
            <w:r w:rsidRPr="002A2F20">
              <w:rPr>
                <w:rFonts w:cs="Arial"/>
                <w:szCs w:val="22"/>
              </w:rPr>
              <w:t>39</w:t>
            </w:r>
          </w:p>
        </w:tc>
        <w:tc>
          <w:tcPr>
            <w:tcW w:w="1423" w:type="dxa"/>
            <w:vAlign w:val="center"/>
            <w:hideMark/>
          </w:tcPr>
          <w:p w14:paraId="6105FEAD" w14:textId="77777777" w:rsidR="00C33D94" w:rsidRPr="006C0405" w:rsidRDefault="00C33D94" w:rsidP="000029BA">
            <w:pPr>
              <w:tabs>
                <w:tab w:val="right" w:pos="978"/>
              </w:tabs>
              <w:spacing w:line="360" w:lineRule="auto"/>
              <w:rPr>
                <w:rFonts w:cs="Arial"/>
                <w:szCs w:val="22"/>
              </w:rPr>
            </w:pPr>
            <w:r w:rsidRPr="002A2F20">
              <w:rPr>
                <w:rFonts w:cs="Arial"/>
                <w:szCs w:val="22"/>
              </w:rPr>
              <w:tab/>
              <w:t>40</w:t>
            </w:r>
          </w:p>
        </w:tc>
      </w:tr>
      <w:tr w:rsidR="00C33D94" w:rsidRPr="006C0405" w14:paraId="0EC8D4DD" w14:textId="77777777" w:rsidTr="000029BA">
        <w:trPr>
          <w:gridAfter w:val="1"/>
          <w:tblCellSpacing w:w="15" w:type="dxa"/>
        </w:trPr>
        <w:tc>
          <w:tcPr>
            <w:tcW w:w="0" w:type="auto"/>
            <w:vAlign w:val="center"/>
            <w:hideMark/>
          </w:tcPr>
          <w:p w14:paraId="58F20A0B" w14:textId="77777777" w:rsidR="00C33D94" w:rsidRPr="006C0405" w:rsidRDefault="00C33D94" w:rsidP="000029BA">
            <w:pPr>
              <w:spacing w:line="360" w:lineRule="auto"/>
              <w:rPr>
                <w:rFonts w:cs="Arial"/>
                <w:szCs w:val="22"/>
              </w:rPr>
            </w:pPr>
            <w:r w:rsidRPr="006C0405">
              <w:rPr>
                <w:rFonts w:cs="Arial"/>
                <w:szCs w:val="22"/>
              </w:rPr>
              <w:t>Property, plant &amp; equipment</w:t>
            </w:r>
          </w:p>
        </w:tc>
        <w:tc>
          <w:tcPr>
            <w:tcW w:w="0" w:type="auto"/>
            <w:gridSpan w:val="4"/>
            <w:vAlign w:val="center"/>
            <w:hideMark/>
          </w:tcPr>
          <w:p w14:paraId="587832FE" w14:textId="77777777" w:rsidR="00C33D94" w:rsidRPr="006C0405" w:rsidRDefault="00C33D94" w:rsidP="000029BA">
            <w:pPr>
              <w:tabs>
                <w:tab w:val="decimal" w:pos="1128"/>
              </w:tabs>
              <w:spacing w:line="360" w:lineRule="auto"/>
              <w:rPr>
                <w:rFonts w:cs="Arial"/>
                <w:szCs w:val="22"/>
              </w:rPr>
            </w:pPr>
            <w:r w:rsidRPr="002A2F20">
              <w:rPr>
                <w:rFonts w:cs="Arial"/>
                <w:szCs w:val="22"/>
              </w:rPr>
              <w:t> 37</w:t>
            </w:r>
          </w:p>
        </w:tc>
        <w:tc>
          <w:tcPr>
            <w:tcW w:w="1423" w:type="dxa"/>
            <w:vAlign w:val="center"/>
            <w:hideMark/>
          </w:tcPr>
          <w:p w14:paraId="164922CD" w14:textId="77777777" w:rsidR="00C33D94" w:rsidRPr="006C0405" w:rsidRDefault="00C33D94" w:rsidP="000029BA">
            <w:pPr>
              <w:tabs>
                <w:tab w:val="right" w:pos="978"/>
              </w:tabs>
              <w:spacing w:line="360" w:lineRule="auto"/>
              <w:rPr>
                <w:rFonts w:cs="Arial"/>
                <w:szCs w:val="22"/>
              </w:rPr>
            </w:pPr>
            <w:r w:rsidRPr="002A2F20">
              <w:rPr>
                <w:rFonts w:cs="Arial"/>
                <w:szCs w:val="22"/>
              </w:rPr>
              <w:t xml:space="preserve">            33</w:t>
            </w:r>
          </w:p>
        </w:tc>
      </w:tr>
      <w:tr w:rsidR="00C33D94" w:rsidRPr="006C0405" w14:paraId="20CA1984" w14:textId="77777777" w:rsidTr="000029BA">
        <w:trPr>
          <w:gridAfter w:val="1"/>
          <w:tblCellSpacing w:w="15" w:type="dxa"/>
        </w:trPr>
        <w:tc>
          <w:tcPr>
            <w:tcW w:w="0" w:type="auto"/>
            <w:vAlign w:val="center"/>
            <w:hideMark/>
          </w:tcPr>
          <w:p w14:paraId="499AD337" w14:textId="77777777" w:rsidR="00C33D94" w:rsidRPr="006C0405" w:rsidRDefault="00C33D94" w:rsidP="000029BA">
            <w:pPr>
              <w:spacing w:line="360" w:lineRule="auto"/>
              <w:rPr>
                <w:rFonts w:cs="Arial"/>
                <w:szCs w:val="22"/>
              </w:rPr>
            </w:pPr>
            <w:r w:rsidRPr="006C0405">
              <w:rPr>
                <w:rFonts w:cs="Arial"/>
                <w:szCs w:val="22"/>
              </w:rPr>
              <w:t> </w:t>
            </w:r>
          </w:p>
        </w:tc>
        <w:tc>
          <w:tcPr>
            <w:tcW w:w="0" w:type="auto"/>
            <w:gridSpan w:val="4"/>
            <w:vAlign w:val="center"/>
            <w:hideMark/>
          </w:tcPr>
          <w:p w14:paraId="53A5AFE8" w14:textId="77777777" w:rsidR="00C33D94" w:rsidRPr="006C0405" w:rsidRDefault="00C33D94" w:rsidP="000029BA">
            <w:pPr>
              <w:tabs>
                <w:tab w:val="decimal" w:pos="1128"/>
              </w:tabs>
              <w:spacing w:line="360" w:lineRule="auto"/>
              <w:rPr>
                <w:rFonts w:cs="Arial"/>
                <w:szCs w:val="22"/>
              </w:rPr>
            </w:pPr>
            <w:r w:rsidRPr="002A2F20">
              <w:rPr>
                <w:rFonts w:cs="Arial"/>
                <w:szCs w:val="22"/>
              </w:rPr>
              <w:t>100</w:t>
            </w:r>
          </w:p>
        </w:tc>
        <w:tc>
          <w:tcPr>
            <w:tcW w:w="1423" w:type="dxa"/>
            <w:vAlign w:val="center"/>
            <w:hideMark/>
          </w:tcPr>
          <w:p w14:paraId="165A49B3" w14:textId="77777777" w:rsidR="00C33D94" w:rsidRPr="006C0405" w:rsidRDefault="00C33D94" w:rsidP="000029BA">
            <w:pPr>
              <w:tabs>
                <w:tab w:val="right" w:pos="978"/>
              </w:tabs>
              <w:spacing w:line="360" w:lineRule="auto"/>
              <w:rPr>
                <w:rFonts w:cs="Arial"/>
                <w:szCs w:val="22"/>
              </w:rPr>
            </w:pPr>
            <w:r w:rsidRPr="002A2F20">
              <w:rPr>
                <w:rFonts w:cs="Arial"/>
                <w:szCs w:val="22"/>
              </w:rPr>
              <w:tab/>
              <w:t>100</w:t>
            </w:r>
          </w:p>
        </w:tc>
      </w:tr>
      <w:tr w:rsidR="00C33D94" w:rsidRPr="006C0405" w14:paraId="5005EC04" w14:textId="77777777" w:rsidTr="000029BA">
        <w:trPr>
          <w:gridAfter w:val="1"/>
          <w:tblCellSpacing w:w="15" w:type="dxa"/>
        </w:trPr>
        <w:tc>
          <w:tcPr>
            <w:tcW w:w="0" w:type="auto"/>
            <w:vAlign w:val="center"/>
            <w:hideMark/>
          </w:tcPr>
          <w:p w14:paraId="0441AD5B" w14:textId="77777777" w:rsidR="00C33D94" w:rsidRPr="006C0405" w:rsidRDefault="00C33D94" w:rsidP="000029BA">
            <w:pPr>
              <w:spacing w:line="360" w:lineRule="auto"/>
              <w:rPr>
                <w:rFonts w:cs="Arial"/>
                <w:szCs w:val="22"/>
              </w:rPr>
            </w:pPr>
            <w:r w:rsidRPr="006C0405">
              <w:rPr>
                <w:rFonts w:cs="Arial"/>
                <w:i/>
                <w:iCs/>
                <w:szCs w:val="22"/>
              </w:rPr>
              <w:t>Liabilities and Shareholders’ Equity</w:t>
            </w:r>
          </w:p>
        </w:tc>
        <w:tc>
          <w:tcPr>
            <w:tcW w:w="0" w:type="auto"/>
            <w:gridSpan w:val="4"/>
            <w:vAlign w:val="center"/>
            <w:hideMark/>
          </w:tcPr>
          <w:p w14:paraId="66A42BB6" w14:textId="77777777" w:rsidR="00C33D94" w:rsidRPr="006C0405" w:rsidRDefault="00C33D94" w:rsidP="000029BA">
            <w:pPr>
              <w:tabs>
                <w:tab w:val="decimal" w:pos="1128"/>
              </w:tabs>
              <w:spacing w:line="360" w:lineRule="auto"/>
              <w:rPr>
                <w:rFonts w:cs="Arial"/>
                <w:szCs w:val="22"/>
              </w:rPr>
            </w:pPr>
          </w:p>
        </w:tc>
        <w:tc>
          <w:tcPr>
            <w:tcW w:w="1423" w:type="dxa"/>
            <w:vAlign w:val="center"/>
            <w:hideMark/>
          </w:tcPr>
          <w:p w14:paraId="432DD30A" w14:textId="77777777" w:rsidR="00C33D94" w:rsidRPr="006C0405" w:rsidRDefault="00C33D94" w:rsidP="000029BA">
            <w:pPr>
              <w:tabs>
                <w:tab w:val="right" w:pos="978"/>
              </w:tabs>
              <w:spacing w:line="360" w:lineRule="auto"/>
              <w:rPr>
                <w:rFonts w:cs="Arial"/>
                <w:szCs w:val="22"/>
              </w:rPr>
            </w:pPr>
          </w:p>
        </w:tc>
      </w:tr>
      <w:tr w:rsidR="00C33D94" w:rsidRPr="006C0405" w14:paraId="7185B4BF" w14:textId="77777777" w:rsidTr="000029BA">
        <w:trPr>
          <w:gridAfter w:val="1"/>
          <w:tblCellSpacing w:w="15" w:type="dxa"/>
        </w:trPr>
        <w:tc>
          <w:tcPr>
            <w:tcW w:w="0" w:type="auto"/>
            <w:vAlign w:val="center"/>
            <w:hideMark/>
          </w:tcPr>
          <w:p w14:paraId="0E3C36F0" w14:textId="77777777" w:rsidR="00C33D94" w:rsidRPr="006C0405" w:rsidRDefault="00C33D94" w:rsidP="000029BA">
            <w:pPr>
              <w:spacing w:line="360" w:lineRule="auto"/>
              <w:rPr>
                <w:rFonts w:cs="Arial"/>
                <w:szCs w:val="22"/>
              </w:rPr>
            </w:pPr>
            <w:r w:rsidRPr="006C0405">
              <w:rPr>
                <w:rFonts w:cs="Arial"/>
                <w:szCs w:val="22"/>
              </w:rPr>
              <w:t>Accounts payable</w:t>
            </w:r>
          </w:p>
        </w:tc>
        <w:tc>
          <w:tcPr>
            <w:tcW w:w="0" w:type="auto"/>
            <w:gridSpan w:val="4"/>
            <w:vAlign w:val="center"/>
            <w:hideMark/>
          </w:tcPr>
          <w:p w14:paraId="371454BA" w14:textId="77777777" w:rsidR="00C33D94" w:rsidRPr="006C0405" w:rsidRDefault="00C33D94" w:rsidP="000029BA">
            <w:pPr>
              <w:tabs>
                <w:tab w:val="decimal" w:pos="1128"/>
              </w:tabs>
              <w:spacing w:line="360" w:lineRule="auto"/>
              <w:rPr>
                <w:rFonts w:cs="Arial"/>
                <w:szCs w:val="22"/>
              </w:rPr>
            </w:pPr>
            <w:r w:rsidRPr="002A2F20">
              <w:rPr>
                <w:rFonts w:cs="Arial"/>
                <w:szCs w:val="22"/>
              </w:rPr>
              <w:t>24</w:t>
            </w:r>
          </w:p>
        </w:tc>
        <w:tc>
          <w:tcPr>
            <w:tcW w:w="1423" w:type="dxa"/>
            <w:vAlign w:val="center"/>
            <w:hideMark/>
          </w:tcPr>
          <w:p w14:paraId="22033E9C" w14:textId="77777777" w:rsidR="00C33D94" w:rsidRPr="006C0405" w:rsidRDefault="00C33D94" w:rsidP="000029BA">
            <w:pPr>
              <w:tabs>
                <w:tab w:val="right" w:pos="978"/>
              </w:tabs>
              <w:spacing w:line="360" w:lineRule="auto"/>
              <w:rPr>
                <w:rFonts w:cs="Arial"/>
                <w:szCs w:val="22"/>
              </w:rPr>
            </w:pPr>
            <w:r w:rsidRPr="002A2F20">
              <w:rPr>
                <w:rFonts w:cs="Arial"/>
                <w:szCs w:val="22"/>
              </w:rPr>
              <w:tab/>
              <w:t>26</w:t>
            </w:r>
          </w:p>
        </w:tc>
      </w:tr>
      <w:tr w:rsidR="00C33D94" w:rsidRPr="006C0405" w14:paraId="167D839C" w14:textId="77777777" w:rsidTr="000029BA">
        <w:trPr>
          <w:gridAfter w:val="1"/>
          <w:tblCellSpacing w:w="15" w:type="dxa"/>
        </w:trPr>
        <w:tc>
          <w:tcPr>
            <w:tcW w:w="0" w:type="auto"/>
            <w:vAlign w:val="center"/>
            <w:hideMark/>
          </w:tcPr>
          <w:p w14:paraId="3173E791" w14:textId="77777777" w:rsidR="00C33D94" w:rsidRPr="006C0405" w:rsidRDefault="00C33D94" w:rsidP="000029BA">
            <w:pPr>
              <w:spacing w:line="360" w:lineRule="auto"/>
              <w:rPr>
                <w:rFonts w:cs="Arial"/>
                <w:szCs w:val="22"/>
              </w:rPr>
            </w:pPr>
            <w:r w:rsidRPr="006C0405">
              <w:rPr>
                <w:rFonts w:cs="Arial"/>
                <w:szCs w:val="22"/>
              </w:rPr>
              <w:t>Other accrued liabilities</w:t>
            </w:r>
          </w:p>
        </w:tc>
        <w:tc>
          <w:tcPr>
            <w:tcW w:w="0" w:type="auto"/>
            <w:gridSpan w:val="4"/>
            <w:vAlign w:val="center"/>
            <w:hideMark/>
          </w:tcPr>
          <w:p w14:paraId="468779F8" w14:textId="77777777" w:rsidR="00C33D94" w:rsidRPr="006C0405" w:rsidRDefault="00C33D94" w:rsidP="000029BA">
            <w:pPr>
              <w:tabs>
                <w:tab w:val="decimal" w:pos="1128"/>
              </w:tabs>
              <w:spacing w:line="360" w:lineRule="auto"/>
              <w:rPr>
                <w:rFonts w:cs="Arial"/>
                <w:szCs w:val="22"/>
              </w:rPr>
            </w:pPr>
            <w:r w:rsidRPr="002A2F20">
              <w:rPr>
                <w:rFonts w:cs="Arial"/>
                <w:szCs w:val="22"/>
              </w:rPr>
              <w:t>8</w:t>
            </w:r>
          </w:p>
        </w:tc>
        <w:tc>
          <w:tcPr>
            <w:tcW w:w="1423" w:type="dxa"/>
            <w:vAlign w:val="center"/>
            <w:hideMark/>
          </w:tcPr>
          <w:p w14:paraId="565F0632" w14:textId="77777777" w:rsidR="00C33D94" w:rsidRPr="006C0405" w:rsidRDefault="00C33D94" w:rsidP="000029BA">
            <w:pPr>
              <w:tabs>
                <w:tab w:val="right" w:pos="978"/>
              </w:tabs>
              <w:spacing w:line="360" w:lineRule="auto"/>
              <w:rPr>
                <w:rFonts w:cs="Arial"/>
                <w:szCs w:val="22"/>
              </w:rPr>
            </w:pPr>
            <w:r w:rsidRPr="002A2F20">
              <w:rPr>
                <w:rFonts w:cs="Arial"/>
                <w:szCs w:val="22"/>
              </w:rPr>
              <w:tab/>
              <w:t>7</w:t>
            </w:r>
          </w:p>
        </w:tc>
      </w:tr>
      <w:tr w:rsidR="00C33D94" w:rsidRPr="006C0405" w14:paraId="023E30B6" w14:textId="77777777" w:rsidTr="000029BA">
        <w:trPr>
          <w:gridAfter w:val="1"/>
          <w:tblCellSpacing w:w="15" w:type="dxa"/>
        </w:trPr>
        <w:tc>
          <w:tcPr>
            <w:tcW w:w="0" w:type="auto"/>
            <w:vAlign w:val="center"/>
            <w:hideMark/>
          </w:tcPr>
          <w:p w14:paraId="682EAA2C" w14:textId="77777777" w:rsidR="00C33D94" w:rsidRPr="006C0405" w:rsidRDefault="00C33D94" w:rsidP="000029BA">
            <w:pPr>
              <w:spacing w:line="360" w:lineRule="auto"/>
              <w:rPr>
                <w:rFonts w:cs="Arial"/>
                <w:szCs w:val="22"/>
              </w:rPr>
            </w:pPr>
            <w:r w:rsidRPr="006C0405">
              <w:rPr>
                <w:rFonts w:cs="Arial"/>
                <w:szCs w:val="22"/>
              </w:rPr>
              <w:t>Bonds payable</w:t>
            </w:r>
          </w:p>
        </w:tc>
        <w:tc>
          <w:tcPr>
            <w:tcW w:w="0" w:type="auto"/>
            <w:gridSpan w:val="4"/>
            <w:vAlign w:val="center"/>
            <w:hideMark/>
          </w:tcPr>
          <w:p w14:paraId="61434428" w14:textId="77777777" w:rsidR="00C33D94" w:rsidRPr="006C0405" w:rsidRDefault="00C33D94" w:rsidP="000029BA">
            <w:pPr>
              <w:tabs>
                <w:tab w:val="decimal" w:pos="1128"/>
              </w:tabs>
              <w:spacing w:line="360" w:lineRule="auto"/>
              <w:rPr>
                <w:rFonts w:cs="Arial"/>
                <w:szCs w:val="22"/>
              </w:rPr>
            </w:pPr>
            <w:r w:rsidRPr="002A2F20">
              <w:rPr>
                <w:rFonts w:cs="Arial"/>
                <w:szCs w:val="22"/>
              </w:rPr>
              <w:t>22</w:t>
            </w:r>
          </w:p>
        </w:tc>
        <w:tc>
          <w:tcPr>
            <w:tcW w:w="1423" w:type="dxa"/>
            <w:vAlign w:val="center"/>
            <w:hideMark/>
          </w:tcPr>
          <w:p w14:paraId="6C9A9B21" w14:textId="77777777" w:rsidR="00C33D94" w:rsidRPr="006C0405" w:rsidRDefault="00C33D94" w:rsidP="000029BA">
            <w:pPr>
              <w:tabs>
                <w:tab w:val="right" w:pos="978"/>
              </w:tabs>
              <w:spacing w:line="360" w:lineRule="auto"/>
              <w:rPr>
                <w:rFonts w:cs="Arial"/>
                <w:szCs w:val="22"/>
              </w:rPr>
            </w:pPr>
            <w:r w:rsidRPr="002A2F20">
              <w:rPr>
                <w:rFonts w:cs="Arial"/>
                <w:szCs w:val="22"/>
              </w:rPr>
              <w:tab/>
              <w:t>24</w:t>
            </w:r>
          </w:p>
        </w:tc>
      </w:tr>
      <w:tr w:rsidR="00C33D94" w:rsidRPr="006C0405" w14:paraId="2C87F206" w14:textId="77777777" w:rsidTr="000029BA">
        <w:trPr>
          <w:gridAfter w:val="1"/>
          <w:tblCellSpacing w:w="15" w:type="dxa"/>
        </w:trPr>
        <w:tc>
          <w:tcPr>
            <w:tcW w:w="0" w:type="auto"/>
            <w:vAlign w:val="center"/>
            <w:hideMark/>
          </w:tcPr>
          <w:p w14:paraId="26DF6300" w14:textId="77777777" w:rsidR="00C33D94" w:rsidRPr="006C0405" w:rsidRDefault="00C33D94" w:rsidP="000029BA">
            <w:pPr>
              <w:spacing w:line="360" w:lineRule="auto"/>
              <w:rPr>
                <w:rFonts w:cs="Arial"/>
                <w:szCs w:val="22"/>
              </w:rPr>
            </w:pPr>
            <w:r w:rsidRPr="006C0405">
              <w:rPr>
                <w:rFonts w:cs="Arial"/>
                <w:szCs w:val="22"/>
              </w:rPr>
              <w:t>Common shares</w:t>
            </w:r>
          </w:p>
        </w:tc>
        <w:tc>
          <w:tcPr>
            <w:tcW w:w="0" w:type="auto"/>
            <w:gridSpan w:val="4"/>
            <w:vAlign w:val="center"/>
            <w:hideMark/>
          </w:tcPr>
          <w:p w14:paraId="62E5C946" w14:textId="77777777" w:rsidR="00C33D94" w:rsidRPr="006C0405" w:rsidRDefault="00C33D94" w:rsidP="000029BA">
            <w:pPr>
              <w:tabs>
                <w:tab w:val="decimal" w:pos="1128"/>
              </w:tabs>
              <w:spacing w:line="360" w:lineRule="auto"/>
              <w:rPr>
                <w:rFonts w:cs="Arial"/>
                <w:szCs w:val="22"/>
              </w:rPr>
            </w:pPr>
            <w:r w:rsidRPr="002A2F20">
              <w:rPr>
                <w:rFonts w:cs="Arial"/>
                <w:szCs w:val="22"/>
              </w:rPr>
              <w:t>21</w:t>
            </w:r>
          </w:p>
        </w:tc>
        <w:tc>
          <w:tcPr>
            <w:tcW w:w="1423" w:type="dxa"/>
            <w:vAlign w:val="center"/>
            <w:hideMark/>
          </w:tcPr>
          <w:p w14:paraId="24675DD8" w14:textId="77777777" w:rsidR="00C33D94" w:rsidRPr="006C0405" w:rsidRDefault="00C33D94" w:rsidP="000029BA">
            <w:pPr>
              <w:tabs>
                <w:tab w:val="right" w:pos="978"/>
              </w:tabs>
              <w:spacing w:line="360" w:lineRule="auto"/>
              <w:rPr>
                <w:rFonts w:cs="Arial"/>
                <w:szCs w:val="22"/>
              </w:rPr>
            </w:pPr>
            <w:r w:rsidRPr="002A2F20">
              <w:rPr>
                <w:rFonts w:cs="Arial"/>
                <w:szCs w:val="22"/>
              </w:rPr>
              <w:tab/>
              <w:t>23</w:t>
            </w:r>
          </w:p>
        </w:tc>
      </w:tr>
      <w:tr w:rsidR="00C33D94" w:rsidRPr="006C0405" w14:paraId="251B69CB" w14:textId="77777777" w:rsidTr="000029BA">
        <w:trPr>
          <w:gridAfter w:val="1"/>
          <w:tblCellSpacing w:w="15" w:type="dxa"/>
        </w:trPr>
        <w:tc>
          <w:tcPr>
            <w:tcW w:w="0" w:type="auto"/>
            <w:vAlign w:val="center"/>
            <w:hideMark/>
          </w:tcPr>
          <w:p w14:paraId="765C9FC0" w14:textId="77777777" w:rsidR="00C33D94" w:rsidRPr="006C0405" w:rsidRDefault="00C33D94" w:rsidP="000029BA">
            <w:pPr>
              <w:spacing w:line="360" w:lineRule="auto"/>
              <w:rPr>
                <w:rFonts w:cs="Arial"/>
                <w:szCs w:val="22"/>
              </w:rPr>
            </w:pPr>
            <w:r w:rsidRPr="006C0405">
              <w:rPr>
                <w:rFonts w:cs="Arial"/>
                <w:szCs w:val="22"/>
              </w:rPr>
              <w:t>Retained earnings</w:t>
            </w:r>
          </w:p>
        </w:tc>
        <w:tc>
          <w:tcPr>
            <w:tcW w:w="0" w:type="auto"/>
            <w:gridSpan w:val="4"/>
            <w:vAlign w:val="center"/>
            <w:hideMark/>
          </w:tcPr>
          <w:p w14:paraId="5A698534" w14:textId="77777777" w:rsidR="00C33D94" w:rsidRPr="006C0405" w:rsidRDefault="00C33D94" w:rsidP="000029BA">
            <w:pPr>
              <w:tabs>
                <w:tab w:val="decimal" w:pos="1128"/>
              </w:tabs>
              <w:spacing w:line="360" w:lineRule="auto"/>
              <w:rPr>
                <w:rFonts w:cs="Arial"/>
                <w:szCs w:val="22"/>
              </w:rPr>
            </w:pPr>
            <w:r w:rsidRPr="002A2F20">
              <w:rPr>
                <w:rFonts w:cs="Arial"/>
                <w:szCs w:val="22"/>
              </w:rPr>
              <w:t>  25</w:t>
            </w:r>
          </w:p>
        </w:tc>
        <w:tc>
          <w:tcPr>
            <w:tcW w:w="1423" w:type="dxa"/>
            <w:vAlign w:val="center"/>
            <w:hideMark/>
          </w:tcPr>
          <w:p w14:paraId="1D2810DB" w14:textId="77777777" w:rsidR="00C33D94" w:rsidRPr="006C0405" w:rsidRDefault="00C33D94" w:rsidP="000029BA">
            <w:pPr>
              <w:tabs>
                <w:tab w:val="right" w:pos="978"/>
              </w:tabs>
              <w:spacing w:line="360" w:lineRule="auto"/>
              <w:rPr>
                <w:rFonts w:cs="Arial"/>
                <w:szCs w:val="22"/>
              </w:rPr>
            </w:pPr>
            <w:r w:rsidRPr="002A2F20">
              <w:rPr>
                <w:rFonts w:cs="Arial"/>
                <w:szCs w:val="22"/>
              </w:rPr>
              <w:tab/>
              <w:t>20</w:t>
            </w:r>
          </w:p>
        </w:tc>
      </w:tr>
      <w:tr w:rsidR="00C33D94" w:rsidRPr="006C0405" w14:paraId="14846343" w14:textId="77777777" w:rsidTr="000029BA">
        <w:trPr>
          <w:gridAfter w:val="1"/>
          <w:tblCellSpacing w:w="15" w:type="dxa"/>
        </w:trPr>
        <w:tc>
          <w:tcPr>
            <w:tcW w:w="0" w:type="auto"/>
            <w:vAlign w:val="center"/>
            <w:hideMark/>
          </w:tcPr>
          <w:p w14:paraId="27B6481F" w14:textId="77777777" w:rsidR="00C33D94" w:rsidRPr="006C0405" w:rsidRDefault="00C33D94" w:rsidP="000029BA">
            <w:pPr>
              <w:spacing w:line="360" w:lineRule="auto"/>
              <w:rPr>
                <w:rFonts w:cs="Arial"/>
                <w:szCs w:val="22"/>
              </w:rPr>
            </w:pPr>
            <w:r w:rsidRPr="006C0405">
              <w:rPr>
                <w:rFonts w:cs="Arial"/>
                <w:szCs w:val="22"/>
              </w:rPr>
              <w:t> </w:t>
            </w:r>
          </w:p>
        </w:tc>
        <w:tc>
          <w:tcPr>
            <w:tcW w:w="0" w:type="auto"/>
            <w:gridSpan w:val="4"/>
            <w:vAlign w:val="center"/>
            <w:hideMark/>
          </w:tcPr>
          <w:p w14:paraId="16F989A8" w14:textId="77777777" w:rsidR="00C33D94" w:rsidRPr="006C0405" w:rsidRDefault="00C33D94" w:rsidP="000029BA">
            <w:pPr>
              <w:tabs>
                <w:tab w:val="decimal" w:pos="1128"/>
              </w:tabs>
              <w:spacing w:line="360" w:lineRule="auto"/>
              <w:rPr>
                <w:rFonts w:cs="Arial"/>
                <w:szCs w:val="22"/>
              </w:rPr>
            </w:pPr>
            <w:r w:rsidRPr="002A2F20">
              <w:rPr>
                <w:rFonts w:cs="Arial"/>
                <w:szCs w:val="22"/>
              </w:rPr>
              <w:t>100</w:t>
            </w:r>
          </w:p>
        </w:tc>
        <w:tc>
          <w:tcPr>
            <w:tcW w:w="1423" w:type="dxa"/>
            <w:vAlign w:val="center"/>
            <w:hideMark/>
          </w:tcPr>
          <w:p w14:paraId="7E22B4F0" w14:textId="77777777" w:rsidR="00C33D94" w:rsidRPr="006C0405" w:rsidRDefault="00C33D94" w:rsidP="000029BA">
            <w:pPr>
              <w:tabs>
                <w:tab w:val="right" w:pos="978"/>
              </w:tabs>
              <w:spacing w:line="360" w:lineRule="auto"/>
              <w:rPr>
                <w:rFonts w:cs="Arial"/>
                <w:szCs w:val="22"/>
              </w:rPr>
            </w:pPr>
            <w:r w:rsidRPr="002A2F20">
              <w:rPr>
                <w:rFonts w:cs="Arial"/>
                <w:szCs w:val="22"/>
              </w:rPr>
              <w:tab/>
              <w:t>100</w:t>
            </w:r>
          </w:p>
        </w:tc>
      </w:tr>
      <w:tr w:rsidR="00C33D94" w:rsidRPr="006C0405" w14:paraId="07B690EA" w14:textId="77777777" w:rsidTr="000029BA">
        <w:trPr>
          <w:gridAfter w:val="4"/>
          <w:wAfter w:w="2482" w:type="dxa"/>
          <w:tblCellSpacing w:w="15" w:type="dxa"/>
        </w:trPr>
        <w:tc>
          <w:tcPr>
            <w:tcW w:w="0" w:type="auto"/>
            <w:gridSpan w:val="3"/>
            <w:vAlign w:val="center"/>
            <w:hideMark/>
          </w:tcPr>
          <w:p w14:paraId="35E0AF6C" w14:textId="77777777" w:rsidR="00C33D94" w:rsidRPr="006C0405" w:rsidRDefault="00C33D94" w:rsidP="000029BA">
            <w:pPr>
              <w:spacing w:line="360" w:lineRule="auto"/>
              <w:rPr>
                <w:rFonts w:cs="Arial"/>
                <w:szCs w:val="22"/>
              </w:rPr>
            </w:pPr>
            <w:r w:rsidRPr="006C0405">
              <w:rPr>
                <w:rFonts w:cs="Arial"/>
                <w:b/>
                <w:bCs/>
                <w:szCs w:val="22"/>
              </w:rPr>
              <w:t>INCOME STATEMENT</w:t>
            </w:r>
          </w:p>
        </w:tc>
      </w:tr>
      <w:tr w:rsidR="00C33D94" w:rsidRPr="006C0405" w14:paraId="5D781C3B" w14:textId="77777777" w:rsidTr="000029BA">
        <w:trPr>
          <w:gridAfter w:val="1"/>
          <w:tblCellSpacing w:w="15" w:type="dxa"/>
        </w:trPr>
        <w:tc>
          <w:tcPr>
            <w:tcW w:w="4095" w:type="dxa"/>
            <w:gridSpan w:val="2"/>
            <w:vAlign w:val="center"/>
            <w:hideMark/>
          </w:tcPr>
          <w:p w14:paraId="01E209D9" w14:textId="77777777" w:rsidR="00C33D94" w:rsidRPr="006C0405" w:rsidRDefault="00C33D94" w:rsidP="000029BA">
            <w:pPr>
              <w:spacing w:line="360" w:lineRule="auto"/>
              <w:rPr>
                <w:rFonts w:cs="Arial"/>
                <w:szCs w:val="22"/>
              </w:rPr>
            </w:pPr>
            <w:r w:rsidRPr="006C0405">
              <w:rPr>
                <w:rFonts w:cs="Arial"/>
                <w:szCs w:val="22"/>
              </w:rPr>
              <w:t> </w:t>
            </w:r>
          </w:p>
        </w:tc>
        <w:tc>
          <w:tcPr>
            <w:tcW w:w="1410" w:type="dxa"/>
            <w:gridSpan w:val="2"/>
            <w:vAlign w:val="center"/>
            <w:hideMark/>
          </w:tcPr>
          <w:p w14:paraId="57A07D15" w14:textId="77777777" w:rsidR="00C33D94" w:rsidRPr="006C0405" w:rsidRDefault="00C33D94" w:rsidP="000029BA">
            <w:pPr>
              <w:spacing w:line="360" w:lineRule="auto"/>
              <w:rPr>
                <w:rFonts w:cs="Arial"/>
                <w:szCs w:val="22"/>
              </w:rPr>
            </w:pPr>
            <w:r w:rsidRPr="002A2F20">
              <w:rPr>
                <w:rFonts w:cs="Arial"/>
                <w:i/>
                <w:iCs/>
                <w:szCs w:val="22"/>
              </w:rPr>
              <w:t xml:space="preserve">       </w:t>
            </w:r>
            <w:r w:rsidRPr="006C0405">
              <w:rPr>
                <w:rFonts w:cs="Arial"/>
                <w:i/>
                <w:iCs/>
                <w:szCs w:val="22"/>
              </w:rPr>
              <w:t>Year 7</w:t>
            </w:r>
          </w:p>
        </w:tc>
        <w:tc>
          <w:tcPr>
            <w:tcW w:w="1732" w:type="dxa"/>
            <w:gridSpan w:val="2"/>
            <w:vAlign w:val="center"/>
            <w:hideMark/>
          </w:tcPr>
          <w:p w14:paraId="42EB71C3" w14:textId="77777777" w:rsidR="00C33D94" w:rsidRPr="006C0405" w:rsidRDefault="00C33D94" w:rsidP="000029BA">
            <w:pPr>
              <w:spacing w:line="360" w:lineRule="auto"/>
              <w:rPr>
                <w:rFonts w:cs="Arial"/>
                <w:szCs w:val="22"/>
              </w:rPr>
            </w:pPr>
            <w:r w:rsidRPr="002A2F20">
              <w:rPr>
                <w:rFonts w:cs="Arial"/>
                <w:i/>
                <w:iCs/>
                <w:szCs w:val="22"/>
              </w:rPr>
              <w:t xml:space="preserve">           Y</w:t>
            </w:r>
            <w:r w:rsidRPr="006C0405">
              <w:rPr>
                <w:rFonts w:cs="Arial"/>
                <w:i/>
                <w:iCs/>
                <w:szCs w:val="22"/>
              </w:rPr>
              <w:t>ear 6</w:t>
            </w:r>
          </w:p>
        </w:tc>
      </w:tr>
      <w:tr w:rsidR="00C33D94" w:rsidRPr="006C0405" w14:paraId="2FFE7AC8" w14:textId="77777777" w:rsidTr="000029BA">
        <w:trPr>
          <w:gridAfter w:val="1"/>
          <w:tblCellSpacing w:w="15" w:type="dxa"/>
        </w:trPr>
        <w:tc>
          <w:tcPr>
            <w:tcW w:w="4095" w:type="dxa"/>
            <w:gridSpan w:val="2"/>
            <w:vAlign w:val="center"/>
            <w:hideMark/>
          </w:tcPr>
          <w:p w14:paraId="63DFEDD4" w14:textId="77777777" w:rsidR="00C33D94" w:rsidRPr="006C0405" w:rsidRDefault="00C33D94" w:rsidP="000029BA">
            <w:pPr>
              <w:spacing w:line="360" w:lineRule="auto"/>
              <w:rPr>
                <w:rFonts w:cs="Arial"/>
                <w:szCs w:val="22"/>
              </w:rPr>
            </w:pPr>
            <w:r w:rsidRPr="006C0405">
              <w:rPr>
                <w:rFonts w:cs="Arial"/>
                <w:szCs w:val="22"/>
              </w:rPr>
              <w:t>Sales</w:t>
            </w:r>
          </w:p>
        </w:tc>
        <w:tc>
          <w:tcPr>
            <w:tcW w:w="1410" w:type="dxa"/>
            <w:gridSpan w:val="2"/>
            <w:vAlign w:val="center"/>
            <w:hideMark/>
          </w:tcPr>
          <w:p w14:paraId="20B3DB86" w14:textId="77777777" w:rsidR="00C33D94" w:rsidRPr="006C0405" w:rsidRDefault="00C33D94" w:rsidP="000029BA">
            <w:pPr>
              <w:tabs>
                <w:tab w:val="decimal" w:pos="774"/>
              </w:tabs>
              <w:spacing w:line="360" w:lineRule="auto"/>
              <w:rPr>
                <w:rFonts w:cs="Arial"/>
                <w:szCs w:val="22"/>
              </w:rPr>
            </w:pPr>
            <w:r w:rsidRPr="002A2F20">
              <w:rPr>
                <w:rFonts w:cs="Arial"/>
                <w:szCs w:val="22"/>
              </w:rPr>
              <w:t>100</w:t>
            </w:r>
          </w:p>
        </w:tc>
        <w:tc>
          <w:tcPr>
            <w:tcW w:w="1732" w:type="dxa"/>
            <w:gridSpan w:val="2"/>
            <w:vAlign w:val="center"/>
            <w:hideMark/>
          </w:tcPr>
          <w:p w14:paraId="2EF960AC" w14:textId="77777777" w:rsidR="00C33D94" w:rsidRPr="006C0405" w:rsidRDefault="00C33D94" w:rsidP="000029BA">
            <w:pPr>
              <w:tabs>
                <w:tab w:val="right" w:pos="1314"/>
              </w:tabs>
              <w:spacing w:line="360" w:lineRule="auto"/>
              <w:rPr>
                <w:rFonts w:cs="Arial"/>
                <w:szCs w:val="22"/>
              </w:rPr>
            </w:pPr>
            <w:r w:rsidRPr="002A2F20">
              <w:rPr>
                <w:rFonts w:cs="Arial"/>
                <w:szCs w:val="22"/>
              </w:rPr>
              <w:tab/>
              <w:t>100</w:t>
            </w:r>
          </w:p>
        </w:tc>
      </w:tr>
      <w:tr w:rsidR="00C33D94" w:rsidRPr="006C0405" w14:paraId="461E3627" w14:textId="77777777" w:rsidTr="000029BA">
        <w:trPr>
          <w:gridAfter w:val="1"/>
          <w:tblCellSpacing w:w="15" w:type="dxa"/>
        </w:trPr>
        <w:tc>
          <w:tcPr>
            <w:tcW w:w="4095" w:type="dxa"/>
            <w:gridSpan w:val="2"/>
            <w:vAlign w:val="center"/>
            <w:hideMark/>
          </w:tcPr>
          <w:p w14:paraId="50B90B65" w14:textId="77777777" w:rsidR="00C33D94" w:rsidRPr="006C0405" w:rsidRDefault="00C33D94" w:rsidP="000029BA">
            <w:pPr>
              <w:spacing w:line="360" w:lineRule="auto"/>
              <w:rPr>
                <w:rFonts w:cs="Arial"/>
                <w:szCs w:val="22"/>
              </w:rPr>
            </w:pPr>
            <w:r w:rsidRPr="006C0405">
              <w:rPr>
                <w:rFonts w:cs="Arial"/>
                <w:szCs w:val="22"/>
              </w:rPr>
              <w:t>Cost of goods sold</w:t>
            </w:r>
          </w:p>
        </w:tc>
        <w:tc>
          <w:tcPr>
            <w:tcW w:w="1410" w:type="dxa"/>
            <w:gridSpan w:val="2"/>
            <w:vAlign w:val="center"/>
            <w:hideMark/>
          </w:tcPr>
          <w:p w14:paraId="65F6F921" w14:textId="376DCA66" w:rsidR="00C33D94" w:rsidRPr="006C0405" w:rsidRDefault="006F7BC8" w:rsidP="000029BA">
            <w:pPr>
              <w:tabs>
                <w:tab w:val="decimal" w:pos="774"/>
              </w:tabs>
              <w:spacing w:line="360" w:lineRule="auto"/>
              <w:rPr>
                <w:rFonts w:cs="Arial"/>
                <w:szCs w:val="22"/>
              </w:rPr>
            </w:pPr>
            <w:r>
              <w:rPr>
                <w:rFonts w:cs="Arial"/>
                <w:szCs w:val="22"/>
              </w:rPr>
              <w:t>71</w:t>
            </w:r>
          </w:p>
        </w:tc>
        <w:tc>
          <w:tcPr>
            <w:tcW w:w="1732" w:type="dxa"/>
            <w:gridSpan w:val="2"/>
            <w:vAlign w:val="center"/>
            <w:hideMark/>
          </w:tcPr>
          <w:p w14:paraId="4EC06637" w14:textId="09FA7324" w:rsidR="00C33D94" w:rsidRPr="006C0405" w:rsidRDefault="00C33D94" w:rsidP="000029BA">
            <w:pPr>
              <w:tabs>
                <w:tab w:val="right" w:pos="1314"/>
              </w:tabs>
              <w:spacing w:line="360" w:lineRule="auto"/>
              <w:rPr>
                <w:rFonts w:cs="Arial"/>
                <w:szCs w:val="22"/>
              </w:rPr>
            </w:pPr>
            <w:r w:rsidRPr="002A2F20">
              <w:rPr>
                <w:rFonts w:cs="Arial"/>
                <w:szCs w:val="22"/>
              </w:rPr>
              <w:tab/>
            </w:r>
            <w:r w:rsidR="006F7BC8">
              <w:rPr>
                <w:rFonts w:cs="Arial"/>
                <w:szCs w:val="22"/>
              </w:rPr>
              <w:t>69</w:t>
            </w:r>
          </w:p>
        </w:tc>
      </w:tr>
      <w:tr w:rsidR="00C33D94" w:rsidRPr="006C0405" w14:paraId="78601395" w14:textId="77777777" w:rsidTr="000029BA">
        <w:trPr>
          <w:gridAfter w:val="1"/>
          <w:tblCellSpacing w:w="15" w:type="dxa"/>
        </w:trPr>
        <w:tc>
          <w:tcPr>
            <w:tcW w:w="4095" w:type="dxa"/>
            <w:gridSpan w:val="2"/>
            <w:vAlign w:val="center"/>
            <w:hideMark/>
          </w:tcPr>
          <w:p w14:paraId="10105EC5" w14:textId="77777777" w:rsidR="00C33D94" w:rsidRPr="006C0405" w:rsidRDefault="00C33D94" w:rsidP="000029BA">
            <w:pPr>
              <w:spacing w:line="360" w:lineRule="auto"/>
              <w:rPr>
                <w:rFonts w:cs="Arial"/>
                <w:szCs w:val="22"/>
              </w:rPr>
            </w:pPr>
            <w:r w:rsidRPr="006C0405">
              <w:rPr>
                <w:rFonts w:cs="Arial"/>
                <w:szCs w:val="22"/>
              </w:rPr>
              <w:t>Gross margin</w:t>
            </w:r>
          </w:p>
        </w:tc>
        <w:tc>
          <w:tcPr>
            <w:tcW w:w="1410" w:type="dxa"/>
            <w:gridSpan w:val="2"/>
            <w:vAlign w:val="center"/>
            <w:hideMark/>
          </w:tcPr>
          <w:p w14:paraId="5F1074EB" w14:textId="681FD583" w:rsidR="00C33D94" w:rsidRPr="006C0405" w:rsidRDefault="006F7BC8" w:rsidP="000029BA">
            <w:pPr>
              <w:tabs>
                <w:tab w:val="decimal" w:pos="774"/>
              </w:tabs>
              <w:spacing w:line="360" w:lineRule="auto"/>
              <w:rPr>
                <w:rFonts w:cs="Arial"/>
                <w:szCs w:val="22"/>
              </w:rPr>
            </w:pPr>
            <w:r>
              <w:rPr>
                <w:rFonts w:cs="Arial"/>
                <w:szCs w:val="22"/>
              </w:rPr>
              <w:t>29</w:t>
            </w:r>
            <w:r w:rsidR="00C33D94" w:rsidRPr="006C0405">
              <w:rPr>
                <w:rFonts w:cs="Arial"/>
                <w:szCs w:val="22"/>
              </w:rPr>
              <w:t> </w:t>
            </w:r>
          </w:p>
        </w:tc>
        <w:tc>
          <w:tcPr>
            <w:tcW w:w="1732" w:type="dxa"/>
            <w:gridSpan w:val="2"/>
            <w:vAlign w:val="center"/>
            <w:hideMark/>
          </w:tcPr>
          <w:p w14:paraId="156254E8" w14:textId="284EED97" w:rsidR="00C33D94" w:rsidRPr="006C0405" w:rsidRDefault="00C33D94" w:rsidP="000029BA">
            <w:pPr>
              <w:tabs>
                <w:tab w:val="right" w:pos="1314"/>
              </w:tabs>
              <w:spacing w:line="360" w:lineRule="auto"/>
              <w:rPr>
                <w:rFonts w:cs="Arial"/>
                <w:szCs w:val="22"/>
              </w:rPr>
            </w:pPr>
            <w:r w:rsidRPr="002A2F20">
              <w:rPr>
                <w:rFonts w:cs="Arial"/>
                <w:szCs w:val="22"/>
              </w:rPr>
              <w:tab/>
            </w:r>
            <w:r w:rsidR="006F7BC8">
              <w:rPr>
                <w:rFonts w:cs="Arial"/>
                <w:szCs w:val="22"/>
              </w:rPr>
              <w:t>31</w:t>
            </w:r>
          </w:p>
        </w:tc>
      </w:tr>
      <w:tr w:rsidR="00C33D94" w:rsidRPr="006C0405" w14:paraId="4A076D6C" w14:textId="77777777" w:rsidTr="000029BA">
        <w:trPr>
          <w:gridAfter w:val="1"/>
          <w:tblCellSpacing w:w="15" w:type="dxa"/>
        </w:trPr>
        <w:tc>
          <w:tcPr>
            <w:tcW w:w="4095" w:type="dxa"/>
            <w:gridSpan w:val="2"/>
            <w:vAlign w:val="center"/>
            <w:hideMark/>
          </w:tcPr>
          <w:p w14:paraId="18DC2A07" w14:textId="77777777" w:rsidR="00C33D94" w:rsidRPr="006C0405" w:rsidRDefault="00C33D94" w:rsidP="000029BA">
            <w:pPr>
              <w:spacing w:line="360" w:lineRule="auto"/>
              <w:rPr>
                <w:rFonts w:cs="Arial"/>
                <w:szCs w:val="22"/>
              </w:rPr>
            </w:pPr>
            <w:r w:rsidRPr="002A2F20">
              <w:rPr>
                <w:rFonts w:cs="Arial"/>
                <w:szCs w:val="22"/>
              </w:rPr>
              <w:t xml:space="preserve">Depreciation </w:t>
            </w:r>
            <w:r w:rsidRPr="006C0405">
              <w:rPr>
                <w:rFonts w:cs="Arial"/>
                <w:szCs w:val="22"/>
              </w:rPr>
              <w:t>expense</w:t>
            </w:r>
          </w:p>
        </w:tc>
        <w:tc>
          <w:tcPr>
            <w:tcW w:w="1410" w:type="dxa"/>
            <w:gridSpan w:val="2"/>
            <w:vAlign w:val="center"/>
            <w:hideMark/>
          </w:tcPr>
          <w:p w14:paraId="5144FB6D" w14:textId="76FD7C04" w:rsidR="00C33D94" w:rsidRPr="006C0405" w:rsidRDefault="006F7BC8" w:rsidP="000029BA">
            <w:pPr>
              <w:tabs>
                <w:tab w:val="decimal" w:pos="774"/>
              </w:tabs>
              <w:spacing w:line="360" w:lineRule="auto"/>
              <w:rPr>
                <w:rFonts w:cs="Arial"/>
                <w:szCs w:val="22"/>
              </w:rPr>
            </w:pPr>
            <w:r>
              <w:rPr>
                <w:rFonts w:cs="Arial"/>
                <w:szCs w:val="22"/>
              </w:rPr>
              <w:t>2</w:t>
            </w:r>
          </w:p>
        </w:tc>
        <w:tc>
          <w:tcPr>
            <w:tcW w:w="1732" w:type="dxa"/>
            <w:gridSpan w:val="2"/>
            <w:vAlign w:val="center"/>
            <w:hideMark/>
          </w:tcPr>
          <w:p w14:paraId="5E6E56DE" w14:textId="758B8E33" w:rsidR="00C33D94" w:rsidRPr="006C0405" w:rsidRDefault="00C33D94" w:rsidP="000029BA">
            <w:pPr>
              <w:tabs>
                <w:tab w:val="right" w:pos="1314"/>
              </w:tabs>
              <w:spacing w:line="360" w:lineRule="auto"/>
              <w:rPr>
                <w:rFonts w:cs="Arial"/>
                <w:szCs w:val="22"/>
              </w:rPr>
            </w:pPr>
            <w:r w:rsidRPr="002A2F20">
              <w:rPr>
                <w:rFonts w:cs="Arial"/>
                <w:szCs w:val="22"/>
              </w:rPr>
              <w:tab/>
            </w:r>
            <w:r w:rsidR="006F7BC8">
              <w:rPr>
                <w:rFonts w:cs="Arial"/>
                <w:szCs w:val="22"/>
              </w:rPr>
              <w:t>2</w:t>
            </w:r>
          </w:p>
        </w:tc>
      </w:tr>
      <w:tr w:rsidR="00C33D94" w:rsidRPr="006C0405" w14:paraId="66AB3D24" w14:textId="77777777" w:rsidTr="000029BA">
        <w:trPr>
          <w:gridAfter w:val="1"/>
          <w:tblCellSpacing w:w="15" w:type="dxa"/>
        </w:trPr>
        <w:tc>
          <w:tcPr>
            <w:tcW w:w="4095" w:type="dxa"/>
            <w:gridSpan w:val="2"/>
            <w:vAlign w:val="center"/>
            <w:hideMark/>
          </w:tcPr>
          <w:p w14:paraId="19FD9BDB" w14:textId="77777777" w:rsidR="00C33D94" w:rsidRPr="006C0405" w:rsidRDefault="00C33D94" w:rsidP="000029BA">
            <w:pPr>
              <w:spacing w:line="360" w:lineRule="auto"/>
              <w:rPr>
                <w:rFonts w:cs="Arial"/>
                <w:szCs w:val="22"/>
              </w:rPr>
            </w:pPr>
            <w:r w:rsidRPr="006C0405">
              <w:rPr>
                <w:rFonts w:cs="Arial"/>
                <w:szCs w:val="22"/>
              </w:rPr>
              <w:lastRenderedPageBreak/>
              <w:t>Other expenses</w:t>
            </w:r>
          </w:p>
        </w:tc>
        <w:tc>
          <w:tcPr>
            <w:tcW w:w="1410" w:type="dxa"/>
            <w:gridSpan w:val="2"/>
            <w:vAlign w:val="center"/>
            <w:hideMark/>
          </w:tcPr>
          <w:p w14:paraId="3150EF4F" w14:textId="05DB3856" w:rsidR="00C33D94" w:rsidRPr="006C0405" w:rsidRDefault="00C33D94" w:rsidP="000029BA">
            <w:pPr>
              <w:tabs>
                <w:tab w:val="decimal" w:pos="774"/>
              </w:tabs>
              <w:spacing w:line="360" w:lineRule="auto"/>
              <w:rPr>
                <w:rFonts w:cs="Arial"/>
                <w:szCs w:val="22"/>
              </w:rPr>
            </w:pPr>
            <w:r w:rsidRPr="002A2F20">
              <w:rPr>
                <w:rFonts w:cs="Arial"/>
                <w:szCs w:val="22"/>
              </w:rPr>
              <w:t>2</w:t>
            </w:r>
            <w:r w:rsidR="006F7BC8">
              <w:rPr>
                <w:rFonts w:cs="Arial"/>
                <w:szCs w:val="22"/>
              </w:rPr>
              <w:t>1</w:t>
            </w:r>
          </w:p>
        </w:tc>
        <w:tc>
          <w:tcPr>
            <w:tcW w:w="1732" w:type="dxa"/>
            <w:gridSpan w:val="2"/>
            <w:vAlign w:val="center"/>
            <w:hideMark/>
          </w:tcPr>
          <w:p w14:paraId="08F97FDF" w14:textId="460CEDD2" w:rsidR="00C33D94" w:rsidRPr="006C0405" w:rsidRDefault="00C33D94" w:rsidP="000029BA">
            <w:pPr>
              <w:tabs>
                <w:tab w:val="right" w:pos="1314"/>
              </w:tabs>
              <w:spacing w:line="360" w:lineRule="auto"/>
              <w:rPr>
                <w:rFonts w:cs="Arial"/>
                <w:szCs w:val="22"/>
              </w:rPr>
            </w:pPr>
            <w:r w:rsidRPr="002A2F20">
              <w:rPr>
                <w:rFonts w:cs="Arial"/>
                <w:szCs w:val="22"/>
              </w:rPr>
              <w:tab/>
              <w:t>2</w:t>
            </w:r>
            <w:r w:rsidR="006F7BC8">
              <w:rPr>
                <w:rFonts w:cs="Arial"/>
                <w:szCs w:val="22"/>
              </w:rPr>
              <w:t>2</w:t>
            </w:r>
          </w:p>
        </w:tc>
      </w:tr>
      <w:tr w:rsidR="00C33D94" w:rsidRPr="006C0405" w14:paraId="7F2D4558" w14:textId="77777777" w:rsidTr="000029BA">
        <w:trPr>
          <w:gridAfter w:val="1"/>
          <w:tblCellSpacing w:w="15" w:type="dxa"/>
        </w:trPr>
        <w:tc>
          <w:tcPr>
            <w:tcW w:w="4095" w:type="dxa"/>
            <w:gridSpan w:val="2"/>
            <w:vAlign w:val="center"/>
            <w:hideMark/>
          </w:tcPr>
          <w:p w14:paraId="52557195" w14:textId="77777777" w:rsidR="00C33D94" w:rsidRPr="006C0405" w:rsidRDefault="00C33D94" w:rsidP="000029BA">
            <w:pPr>
              <w:spacing w:line="360" w:lineRule="auto"/>
              <w:rPr>
                <w:rFonts w:cs="Arial"/>
                <w:szCs w:val="22"/>
              </w:rPr>
            </w:pPr>
            <w:r w:rsidRPr="006C0405">
              <w:rPr>
                <w:rFonts w:cs="Arial"/>
                <w:szCs w:val="22"/>
              </w:rPr>
              <w:t>Income tax expense</w:t>
            </w:r>
          </w:p>
        </w:tc>
        <w:tc>
          <w:tcPr>
            <w:tcW w:w="1410" w:type="dxa"/>
            <w:gridSpan w:val="2"/>
            <w:vAlign w:val="center"/>
            <w:hideMark/>
          </w:tcPr>
          <w:p w14:paraId="32F3435C" w14:textId="790C5C10" w:rsidR="00C33D94" w:rsidRPr="006C0405" w:rsidRDefault="006F7BC8" w:rsidP="000029BA">
            <w:pPr>
              <w:tabs>
                <w:tab w:val="decimal" w:pos="774"/>
              </w:tabs>
              <w:spacing w:line="360" w:lineRule="auto"/>
              <w:rPr>
                <w:rFonts w:cs="Arial"/>
                <w:szCs w:val="22"/>
              </w:rPr>
            </w:pPr>
            <w:r>
              <w:rPr>
                <w:rFonts w:cs="Arial"/>
                <w:szCs w:val="22"/>
              </w:rPr>
              <w:t>2</w:t>
            </w:r>
          </w:p>
        </w:tc>
        <w:tc>
          <w:tcPr>
            <w:tcW w:w="1732" w:type="dxa"/>
            <w:gridSpan w:val="2"/>
            <w:vAlign w:val="center"/>
            <w:hideMark/>
          </w:tcPr>
          <w:p w14:paraId="396BFF48" w14:textId="2868025C" w:rsidR="00C33D94" w:rsidRPr="006C0405" w:rsidRDefault="00C33D94" w:rsidP="000029BA">
            <w:pPr>
              <w:tabs>
                <w:tab w:val="right" w:pos="1314"/>
              </w:tabs>
              <w:spacing w:line="360" w:lineRule="auto"/>
              <w:rPr>
                <w:rFonts w:cs="Arial"/>
                <w:szCs w:val="22"/>
              </w:rPr>
            </w:pPr>
            <w:r w:rsidRPr="006C0405">
              <w:rPr>
                <w:rFonts w:cs="Arial"/>
                <w:szCs w:val="22"/>
              </w:rPr>
              <w:t> </w:t>
            </w:r>
            <w:r w:rsidRPr="002A2F20">
              <w:rPr>
                <w:rFonts w:cs="Arial"/>
                <w:szCs w:val="22"/>
              </w:rPr>
              <w:tab/>
            </w:r>
            <w:r w:rsidR="006F7BC8">
              <w:rPr>
                <w:rFonts w:cs="Arial"/>
                <w:szCs w:val="22"/>
              </w:rPr>
              <w:t>3</w:t>
            </w:r>
          </w:p>
        </w:tc>
      </w:tr>
      <w:tr w:rsidR="00C33D94" w:rsidRPr="006C0405" w14:paraId="61695BC3" w14:textId="77777777" w:rsidTr="000029BA">
        <w:trPr>
          <w:gridAfter w:val="1"/>
          <w:tblCellSpacing w:w="15" w:type="dxa"/>
        </w:trPr>
        <w:tc>
          <w:tcPr>
            <w:tcW w:w="4095" w:type="dxa"/>
            <w:gridSpan w:val="2"/>
            <w:vAlign w:val="center"/>
            <w:hideMark/>
          </w:tcPr>
          <w:p w14:paraId="06CA3928" w14:textId="77777777" w:rsidR="00C33D94" w:rsidRPr="006C0405" w:rsidRDefault="00C33D94" w:rsidP="000029BA">
            <w:pPr>
              <w:spacing w:line="360" w:lineRule="auto"/>
              <w:rPr>
                <w:rFonts w:cs="Arial"/>
                <w:szCs w:val="22"/>
              </w:rPr>
            </w:pPr>
            <w:r w:rsidRPr="006C0405">
              <w:rPr>
                <w:rFonts w:cs="Arial"/>
                <w:szCs w:val="22"/>
              </w:rPr>
              <w:t>Net income</w:t>
            </w:r>
          </w:p>
        </w:tc>
        <w:tc>
          <w:tcPr>
            <w:tcW w:w="1410" w:type="dxa"/>
            <w:gridSpan w:val="2"/>
            <w:vAlign w:val="center"/>
            <w:hideMark/>
          </w:tcPr>
          <w:p w14:paraId="16FF747F" w14:textId="392F5C5D" w:rsidR="00C33D94" w:rsidRPr="006C0405" w:rsidRDefault="006F7BC8" w:rsidP="000029BA">
            <w:pPr>
              <w:tabs>
                <w:tab w:val="decimal" w:pos="774"/>
              </w:tabs>
              <w:spacing w:line="360" w:lineRule="auto"/>
              <w:rPr>
                <w:rFonts w:cs="Arial"/>
                <w:szCs w:val="22"/>
              </w:rPr>
            </w:pPr>
            <w:r>
              <w:rPr>
                <w:rFonts w:cs="Arial"/>
                <w:szCs w:val="22"/>
              </w:rPr>
              <w:t>4</w:t>
            </w:r>
            <w:r w:rsidR="00C33D94" w:rsidRPr="006C0405">
              <w:rPr>
                <w:rFonts w:cs="Arial"/>
                <w:szCs w:val="22"/>
              </w:rPr>
              <w:t> </w:t>
            </w:r>
          </w:p>
        </w:tc>
        <w:tc>
          <w:tcPr>
            <w:tcW w:w="1732" w:type="dxa"/>
            <w:gridSpan w:val="2"/>
            <w:vAlign w:val="center"/>
            <w:hideMark/>
          </w:tcPr>
          <w:p w14:paraId="6124F21E" w14:textId="4F9BA37A" w:rsidR="00C33D94" w:rsidRPr="006C0405" w:rsidRDefault="00C33D94" w:rsidP="000029BA">
            <w:pPr>
              <w:tabs>
                <w:tab w:val="right" w:pos="1314"/>
              </w:tabs>
              <w:spacing w:line="360" w:lineRule="auto"/>
              <w:rPr>
                <w:rFonts w:cs="Arial"/>
                <w:szCs w:val="22"/>
              </w:rPr>
            </w:pPr>
            <w:r w:rsidRPr="002A2F20">
              <w:rPr>
                <w:rFonts w:cs="Arial"/>
                <w:szCs w:val="22"/>
              </w:rPr>
              <w:tab/>
            </w:r>
            <w:r w:rsidR="006F7BC8">
              <w:rPr>
                <w:rFonts w:cs="Arial"/>
                <w:szCs w:val="22"/>
              </w:rPr>
              <w:t>4</w:t>
            </w:r>
          </w:p>
        </w:tc>
      </w:tr>
    </w:tbl>
    <w:p w14:paraId="21F23324" w14:textId="77777777" w:rsidR="00C33D94" w:rsidRPr="002A2F20" w:rsidRDefault="00C33D94" w:rsidP="00C33D94">
      <w:pPr>
        <w:spacing w:line="360" w:lineRule="auto"/>
        <w:outlineLvl w:val="3"/>
        <w:rPr>
          <w:rFonts w:cs="Arial"/>
          <w:szCs w:val="22"/>
        </w:rPr>
      </w:pPr>
      <w:r w:rsidRPr="002A2F20">
        <w:rPr>
          <w:rFonts w:cs="Arial"/>
          <w:szCs w:val="22"/>
        </w:rPr>
        <w:t>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8"/>
        <w:gridCol w:w="342"/>
        <w:gridCol w:w="720"/>
        <w:gridCol w:w="720"/>
        <w:gridCol w:w="314"/>
        <w:gridCol w:w="1453"/>
        <w:gridCol w:w="45"/>
      </w:tblGrid>
      <w:tr w:rsidR="00C33D94" w:rsidRPr="006C0405" w14:paraId="24B6D504" w14:textId="77777777" w:rsidTr="000029BA">
        <w:trPr>
          <w:tblCellSpacing w:w="15" w:type="dxa"/>
        </w:trPr>
        <w:tc>
          <w:tcPr>
            <w:tcW w:w="0" w:type="auto"/>
            <w:gridSpan w:val="7"/>
            <w:vAlign w:val="center"/>
            <w:hideMark/>
          </w:tcPr>
          <w:p w14:paraId="63A0A3BF" w14:textId="77777777" w:rsidR="00C33D94" w:rsidRPr="006C0405" w:rsidRDefault="00C33D94" w:rsidP="000029BA">
            <w:pPr>
              <w:spacing w:line="360" w:lineRule="auto"/>
              <w:rPr>
                <w:rFonts w:cs="Arial"/>
                <w:szCs w:val="22"/>
              </w:rPr>
            </w:pPr>
            <w:r w:rsidRPr="006C0405">
              <w:rPr>
                <w:rFonts w:cs="Arial"/>
                <w:b/>
                <w:bCs/>
                <w:szCs w:val="22"/>
              </w:rPr>
              <w:t>BALANCE SHEETS</w:t>
            </w:r>
          </w:p>
        </w:tc>
      </w:tr>
      <w:tr w:rsidR="00C33D94" w:rsidRPr="006C0405" w14:paraId="651E9639" w14:textId="77777777" w:rsidTr="000029BA">
        <w:trPr>
          <w:tblCellSpacing w:w="15" w:type="dxa"/>
        </w:trPr>
        <w:tc>
          <w:tcPr>
            <w:tcW w:w="0" w:type="auto"/>
            <w:vAlign w:val="center"/>
            <w:hideMark/>
          </w:tcPr>
          <w:p w14:paraId="1516D33F" w14:textId="77777777" w:rsidR="00C33D94" w:rsidRPr="006C0405" w:rsidRDefault="00C33D94" w:rsidP="000029BA">
            <w:pPr>
              <w:spacing w:line="360" w:lineRule="auto"/>
              <w:rPr>
                <w:rFonts w:cs="Arial"/>
                <w:szCs w:val="22"/>
              </w:rPr>
            </w:pPr>
            <w:r w:rsidRPr="006C0405">
              <w:rPr>
                <w:rFonts w:cs="Arial"/>
                <w:szCs w:val="22"/>
              </w:rPr>
              <w:t> </w:t>
            </w:r>
          </w:p>
        </w:tc>
        <w:tc>
          <w:tcPr>
            <w:tcW w:w="0" w:type="auto"/>
            <w:gridSpan w:val="4"/>
            <w:vAlign w:val="center"/>
            <w:hideMark/>
          </w:tcPr>
          <w:p w14:paraId="27B2D4BB" w14:textId="77777777" w:rsidR="00C33D94" w:rsidRPr="006C0405" w:rsidRDefault="00C33D94" w:rsidP="000029BA">
            <w:pPr>
              <w:spacing w:line="360" w:lineRule="auto"/>
              <w:rPr>
                <w:rFonts w:cs="Arial"/>
                <w:szCs w:val="22"/>
              </w:rPr>
            </w:pPr>
            <w:r w:rsidRPr="002A2F20">
              <w:rPr>
                <w:rFonts w:cs="Arial"/>
                <w:i/>
                <w:iCs/>
                <w:szCs w:val="22"/>
              </w:rPr>
              <w:t xml:space="preserve">         </w:t>
            </w:r>
            <w:r w:rsidRPr="006C0405">
              <w:rPr>
                <w:rFonts w:cs="Arial"/>
                <w:i/>
                <w:iCs/>
                <w:szCs w:val="22"/>
              </w:rPr>
              <w:t>Year 7</w:t>
            </w:r>
          </w:p>
        </w:tc>
        <w:tc>
          <w:tcPr>
            <w:tcW w:w="0" w:type="auto"/>
            <w:gridSpan w:val="2"/>
            <w:vAlign w:val="center"/>
            <w:hideMark/>
          </w:tcPr>
          <w:p w14:paraId="1297D04B" w14:textId="77777777" w:rsidR="00C33D94" w:rsidRPr="006C0405" w:rsidRDefault="00C33D94" w:rsidP="000029BA">
            <w:pPr>
              <w:spacing w:line="360" w:lineRule="auto"/>
              <w:rPr>
                <w:rFonts w:cs="Arial"/>
                <w:szCs w:val="22"/>
              </w:rPr>
            </w:pPr>
            <w:r w:rsidRPr="002A2F20">
              <w:rPr>
                <w:rFonts w:cs="Arial"/>
                <w:i/>
                <w:iCs/>
                <w:szCs w:val="22"/>
              </w:rPr>
              <w:t xml:space="preserve">     </w:t>
            </w:r>
            <w:r w:rsidRPr="006C0405">
              <w:rPr>
                <w:rFonts w:cs="Arial"/>
                <w:i/>
                <w:iCs/>
                <w:szCs w:val="22"/>
              </w:rPr>
              <w:t>Year 6</w:t>
            </w:r>
          </w:p>
        </w:tc>
      </w:tr>
      <w:tr w:rsidR="00C33D94" w:rsidRPr="006C0405" w14:paraId="2DF747A3" w14:textId="77777777" w:rsidTr="000029BA">
        <w:trPr>
          <w:tblCellSpacing w:w="15" w:type="dxa"/>
        </w:trPr>
        <w:tc>
          <w:tcPr>
            <w:tcW w:w="0" w:type="auto"/>
            <w:vAlign w:val="center"/>
            <w:hideMark/>
          </w:tcPr>
          <w:p w14:paraId="617605C3" w14:textId="77777777" w:rsidR="00C33D94" w:rsidRPr="006C0405" w:rsidRDefault="00C33D94" w:rsidP="000029BA">
            <w:pPr>
              <w:spacing w:line="360" w:lineRule="auto"/>
              <w:rPr>
                <w:rFonts w:cs="Arial"/>
                <w:szCs w:val="22"/>
              </w:rPr>
            </w:pPr>
            <w:r w:rsidRPr="006C0405">
              <w:rPr>
                <w:rFonts w:cs="Arial"/>
                <w:i/>
                <w:iCs/>
                <w:szCs w:val="22"/>
              </w:rPr>
              <w:t>Assets</w:t>
            </w:r>
          </w:p>
        </w:tc>
        <w:tc>
          <w:tcPr>
            <w:tcW w:w="0" w:type="auto"/>
            <w:gridSpan w:val="4"/>
            <w:vAlign w:val="center"/>
            <w:hideMark/>
          </w:tcPr>
          <w:p w14:paraId="07C7E9C0" w14:textId="77777777" w:rsidR="00C33D94" w:rsidRPr="006C0405" w:rsidRDefault="00C33D94" w:rsidP="000029BA">
            <w:pPr>
              <w:spacing w:line="360" w:lineRule="auto"/>
              <w:rPr>
                <w:rFonts w:cs="Arial"/>
                <w:szCs w:val="22"/>
              </w:rPr>
            </w:pPr>
            <w:r w:rsidRPr="006C0405">
              <w:rPr>
                <w:rFonts w:cs="Arial"/>
                <w:szCs w:val="22"/>
              </w:rPr>
              <w:t> </w:t>
            </w:r>
          </w:p>
        </w:tc>
        <w:tc>
          <w:tcPr>
            <w:tcW w:w="0" w:type="auto"/>
            <w:gridSpan w:val="2"/>
            <w:vAlign w:val="center"/>
            <w:hideMark/>
          </w:tcPr>
          <w:p w14:paraId="1B5F3169" w14:textId="77777777" w:rsidR="00C33D94" w:rsidRPr="006C0405" w:rsidRDefault="00C33D94" w:rsidP="000029BA">
            <w:pPr>
              <w:spacing w:line="360" w:lineRule="auto"/>
              <w:rPr>
                <w:rFonts w:cs="Arial"/>
                <w:szCs w:val="22"/>
              </w:rPr>
            </w:pPr>
            <w:r w:rsidRPr="006C0405">
              <w:rPr>
                <w:rFonts w:cs="Arial"/>
                <w:szCs w:val="22"/>
              </w:rPr>
              <w:t> </w:t>
            </w:r>
          </w:p>
        </w:tc>
      </w:tr>
      <w:tr w:rsidR="00C33D94" w:rsidRPr="006C0405" w14:paraId="3A4C87C1" w14:textId="77777777" w:rsidTr="000029BA">
        <w:trPr>
          <w:gridAfter w:val="1"/>
          <w:tblCellSpacing w:w="15" w:type="dxa"/>
        </w:trPr>
        <w:tc>
          <w:tcPr>
            <w:tcW w:w="0" w:type="auto"/>
            <w:vAlign w:val="center"/>
            <w:hideMark/>
          </w:tcPr>
          <w:p w14:paraId="0283FE6D" w14:textId="77777777" w:rsidR="00C33D94" w:rsidRPr="006C0405" w:rsidRDefault="00C33D94" w:rsidP="000029BA">
            <w:pPr>
              <w:spacing w:line="360" w:lineRule="auto"/>
              <w:rPr>
                <w:rFonts w:cs="Arial"/>
                <w:szCs w:val="22"/>
              </w:rPr>
            </w:pPr>
            <w:r w:rsidRPr="006C0405">
              <w:rPr>
                <w:rFonts w:cs="Arial"/>
                <w:szCs w:val="22"/>
              </w:rPr>
              <w:t>Cash</w:t>
            </w:r>
          </w:p>
        </w:tc>
        <w:tc>
          <w:tcPr>
            <w:tcW w:w="0" w:type="auto"/>
            <w:gridSpan w:val="4"/>
            <w:vAlign w:val="center"/>
            <w:hideMark/>
          </w:tcPr>
          <w:p w14:paraId="1CC456A5" w14:textId="77777777" w:rsidR="00C33D94" w:rsidRPr="006C0405" w:rsidRDefault="00C33D94" w:rsidP="000029BA">
            <w:pPr>
              <w:tabs>
                <w:tab w:val="decimal" w:pos="1128"/>
              </w:tabs>
              <w:spacing w:line="360" w:lineRule="auto"/>
              <w:rPr>
                <w:rFonts w:cs="Arial"/>
                <w:szCs w:val="22"/>
              </w:rPr>
            </w:pPr>
            <w:r w:rsidRPr="006C0405">
              <w:rPr>
                <w:rFonts w:cs="Arial"/>
                <w:szCs w:val="22"/>
              </w:rPr>
              <w:t>    </w:t>
            </w:r>
            <w:r w:rsidRPr="002A2F20">
              <w:rPr>
                <w:rFonts w:cs="Arial"/>
                <w:szCs w:val="22"/>
              </w:rPr>
              <w:t>27</w:t>
            </w:r>
          </w:p>
        </w:tc>
        <w:tc>
          <w:tcPr>
            <w:tcW w:w="1423" w:type="dxa"/>
            <w:vAlign w:val="center"/>
            <w:hideMark/>
          </w:tcPr>
          <w:p w14:paraId="333CB084" w14:textId="77777777" w:rsidR="00C33D94" w:rsidRPr="006C0405" w:rsidRDefault="00C33D94" w:rsidP="000029BA">
            <w:pPr>
              <w:tabs>
                <w:tab w:val="right" w:pos="978"/>
              </w:tabs>
              <w:spacing w:line="360" w:lineRule="auto"/>
              <w:rPr>
                <w:rFonts w:cs="Arial"/>
                <w:szCs w:val="22"/>
              </w:rPr>
            </w:pPr>
            <w:r w:rsidRPr="002A2F20">
              <w:rPr>
                <w:rFonts w:cs="Arial"/>
                <w:szCs w:val="22"/>
              </w:rPr>
              <w:tab/>
              <w:t>100</w:t>
            </w:r>
          </w:p>
        </w:tc>
      </w:tr>
      <w:tr w:rsidR="00C33D94" w:rsidRPr="006C0405" w14:paraId="362F46FC" w14:textId="77777777" w:rsidTr="000029BA">
        <w:trPr>
          <w:gridAfter w:val="1"/>
          <w:tblCellSpacing w:w="15" w:type="dxa"/>
        </w:trPr>
        <w:tc>
          <w:tcPr>
            <w:tcW w:w="0" w:type="auto"/>
            <w:vAlign w:val="center"/>
            <w:hideMark/>
          </w:tcPr>
          <w:p w14:paraId="2500BBC0" w14:textId="77777777" w:rsidR="00C33D94" w:rsidRPr="006C0405" w:rsidRDefault="00C33D94" w:rsidP="000029BA">
            <w:pPr>
              <w:spacing w:line="360" w:lineRule="auto"/>
              <w:rPr>
                <w:rFonts w:cs="Arial"/>
                <w:szCs w:val="22"/>
              </w:rPr>
            </w:pPr>
            <w:r w:rsidRPr="006C0405">
              <w:rPr>
                <w:rFonts w:cs="Arial"/>
                <w:szCs w:val="22"/>
              </w:rPr>
              <w:t>Accounts receivable</w:t>
            </w:r>
          </w:p>
        </w:tc>
        <w:tc>
          <w:tcPr>
            <w:tcW w:w="0" w:type="auto"/>
            <w:gridSpan w:val="4"/>
            <w:vAlign w:val="center"/>
            <w:hideMark/>
          </w:tcPr>
          <w:p w14:paraId="282F76EA" w14:textId="77777777" w:rsidR="00C33D94" w:rsidRPr="006C0405" w:rsidRDefault="00C33D94" w:rsidP="000029BA">
            <w:pPr>
              <w:tabs>
                <w:tab w:val="decimal" w:pos="1128"/>
              </w:tabs>
              <w:spacing w:line="360" w:lineRule="auto"/>
              <w:rPr>
                <w:rFonts w:cs="Arial"/>
                <w:szCs w:val="22"/>
              </w:rPr>
            </w:pPr>
            <w:r w:rsidRPr="002A2F20">
              <w:rPr>
                <w:rFonts w:cs="Arial"/>
                <w:szCs w:val="22"/>
              </w:rPr>
              <w:t>102</w:t>
            </w:r>
          </w:p>
        </w:tc>
        <w:tc>
          <w:tcPr>
            <w:tcW w:w="1423" w:type="dxa"/>
            <w:vAlign w:val="center"/>
            <w:hideMark/>
          </w:tcPr>
          <w:p w14:paraId="3FF1B165" w14:textId="77777777" w:rsidR="00C33D94" w:rsidRPr="006C0405" w:rsidRDefault="00C33D94" w:rsidP="000029BA">
            <w:pPr>
              <w:tabs>
                <w:tab w:val="right" w:pos="978"/>
              </w:tabs>
              <w:spacing w:line="360" w:lineRule="auto"/>
              <w:rPr>
                <w:rFonts w:cs="Arial"/>
                <w:szCs w:val="22"/>
              </w:rPr>
            </w:pPr>
            <w:r w:rsidRPr="002A2F20">
              <w:rPr>
                <w:rFonts w:cs="Arial"/>
                <w:szCs w:val="22"/>
              </w:rPr>
              <w:tab/>
              <w:t>100</w:t>
            </w:r>
          </w:p>
        </w:tc>
      </w:tr>
      <w:tr w:rsidR="00C33D94" w:rsidRPr="006C0405" w14:paraId="3728742F" w14:textId="77777777" w:rsidTr="000029BA">
        <w:trPr>
          <w:gridAfter w:val="1"/>
          <w:tblCellSpacing w:w="15" w:type="dxa"/>
        </w:trPr>
        <w:tc>
          <w:tcPr>
            <w:tcW w:w="0" w:type="auto"/>
            <w:vAlign w:val="center"/>
            <w:hideMark/>
          </w:tcPr>
          <w:p w14:paraId="4EC2FC79" w14:textId="77777777" w:rsidR="00C33D94" w:rsidRPr="006C0405" w:rsidRDefault="00C33D94" w:rsidP="000029BA">
            <w:pPr>
              <w:spacing w:line="360" w:lineRule="auto"/>
              <w:rPr>
                <w:rFonts w:cs="Arial"/>
                <w:szCs w:val="22"/>
              </w:rPr>
            </w:pPr>
            <w:r w:rsidRPr="006C0405">
              <w:rPr>
                <w:rFonts w:cs="Arial"/>
                <w:szCs w:val="22"/>
              </w:rPr>
              <w:t>Inventory</w:t>
            </w:r>
          </w:p>
        </w:tc>
        <w:tc>
          <w:tcPr>
            <w:tcW w:w="0" w:type="auto"/>
            <w:gridSpan w:val="4"/>
            <w:vAlign w:val="center"/>
            <w:hideMark/>
          </w:tcPr>
          <w:p w14:paraId="295CA060" w14:textId="77777777" w:rsidR="00C33D94" w:rsidRPr="006C0405" w:rsidRDefault="00C33D94" w:rsidP="000029BA">
            <w:pPr>
              <w:tabs>
                <w:tab w:val="decimal" w:pos="1128"/>
              </w:tabs>
              <w:spacing w:line="360" w:lineRule="auto"/>
              <w:rPr>
                <w:rFonts w:cs="Arial"/>
                <w:szCs w:val="22"/>
              </w:rPr>
            </w:pPr>
            <w:r w:rsidRPr="002A2F20">
              <w:rPr>
                <w:rFonts w:cs="Arial"/>
                <w:szCs w:val="22"/>
              </w:rPr>
              <w:t>103</w:t>
            </w:r>
          </w:p>
        </w:tc>
        <w:tc>
          <w:tcPr>
            <w:tcW w:w="1423" w:type="dxa"/>
            <w:vAlign w:val="center"/>
            <w:hideMark/>
          </w:tcPr>
          <w:p w14:paraId="6181445C" w14:textId="77777777" w:rsidR="00C33D94" w:rsidRPr="006C0405" w:rsidRDefault="00C33D94" w:rsidP="000029BA">
            <w:pPr>
              <w:tabs>
                <w:tab w:val="right" w:pos="978"/>
              </w:tabs>
              <w:spacing w:line="360" w:lineRule="auto"/>
              <w:rPr>
                <w:rFonts w:cs="Arial"/>
                <w:szCs w:val="22"/>
              </w:rPr>
            </w:pPr>
            <w:r w:rsidRPr="002A2F20">
              <w:rPr>
                <w:rFonts w:cs="Arial"/>
                <w:szCs w:val="22"/>
              </w:rPr>
              <w:tab/>
              <w:t>100</w:t>
            </w:r>
          </w:p>
        </w:tc>
      </w:tr>
      <w:tr w:rsidR="00C33D94" w:rsidRPr="006C0405" w14:paraId="33C43DD5" w14:textId="77777777" w:rsidTr="000029BA">
        <w:trPr>
          <w:gridAfter w:val="1"/>
          <w:tblCellSpacing w:w="15" w:type="dxa"/>
        </w:trPr>
        <w:tc>
          <w:tcPr>
            <w:tcW w:w="0" w:type="auto"/>
            <w:vAlign w:val="center"/>
            <w:hideMark/>
          </w:tcPr>
          <w:p w14:paraId="25FE0518" w14:textId="77777777" w:rsidR="00C33D94" w:rsidRPr="006C0405" w:rsidRDefault="00C33D94" w:rsidP="000029BA">
            <w:pPr>
              <w:spacing w:line="360" w:lineRule="auto"/>
              <w:rPr>
                <w:rFonts w:cs="Arial"/>
                <w:szCs w:val="22"/>
              </w:rPr>
            </w:pPr>
            <w:r w:rsidRPr="006C0405">
              <w:rPr>
                <w:rFonts w:cs="Arial"/>
                <w:szCs w:val="22"/>
              </w:rPr>
              <w:t>Property, plant &amp; equipment</w:t>
            </w:r>
          </w:p>
        </w:tc>
        <w:tc>
          <w:tcPr>
            <w:tcW w:w="0" w:type="auto"/>
            <w:gridSpan w:val="4"/>
            <w:vAlign w:val="center"/>
            <w:hideMark/>
          </w:tcPr>
          <w:p w14:paraId="1D163147" w14:textId="77777777" w:rsidR="00C33D94" w:rsidRPr="006C0405" w:rsidRDefault="00C33D94" w:rsidP="000029BA">
            <w:pPr>
              <w:tabs>
                <w:tab w:val="decimal" w:pos="1128"/>
              </w:tabs>
              <w:spacing w:line="360" w:lineRule="auto"/>
              <w:rPr>
                <w:rFonts w:cs="Arial"/>
                <w:szCs w:val="22"/>
              </w:rPr>
            </w:pPr>
            <w:r w:rsidRPr="002A2F20">
              <w:rPr>
                <w:rFonts w:cs="Arial"/>
                <w:szCs w:val="22"/>
              </w:rPr>
              <w:t> 120</w:t>
            </w:r>
          </w:p>
        </w:tc>
        <w:tc>
          <w:tcPr>
            <w:tcW w:w="1423" w:type="dxa"/>
            <w:vAlign w:val="center"/>
            <w:hideMark/>
          </w:tcPr>
          <w:p w14:paraId="776D362C" w14:textId="77777777" w:rsidR="00C33D94" w:rsidRPr="006C0405" w:rsidRDefault="00C33D94" w:rsidP="000029BA">
            <w:pPr>
              <w:tabs>
                <w:tab w:val="right" w:pos="978"/>
              </w:tabs>
              <w:spacing w:line="360" w:lineRule="auto"/>
              <w:rPr>
                <w:rFonts w:cs="Arial"/>
                <w:szCs w:val="22"/>
              </w:rPr>
            </w:pPr>
            <w:r w:rsidRPr="002A2F20">
              <w:rPr>
                <w:rFonts w:cs="Arial"/>
                <w:szCs w:val="22"/>
              </w:rPr>
              <w:t xml:space="preserve">           100</w:t>
            </w:r>
          </w:p>
        </w:tc>
      </w:tr>
      <w:tr w:rsidR="00C33D94" w:rsidRPr="006C0405" w14:paraId="5AB3FBB9" w14:textId="77777777" w:rsidTr="000029BA">
        <w:trPr>
          <w:gridAfter w:val="1"/>
          <w:tblCellSpacing w:w="15" w:type="dxa"/>
        </w:trPr>
        <w:tc>
          <w:tcPr>
            <w:tcW w:w="0" w:type="auto"/>
            <w:vAlign w:val="center"/>
            <w:hideMark/>
          </w:tcPr>
          <w:p w14:paraId="0A84D3FF" w14:textId="77777777" w:rsidR="00C33D94" w:rsidRPr="006C0405" w:rsidRDefault="00C33D94" w:rsidP="000029BA">
            <w:pPr>
              <w:spacing w:line="360" w:lineRule="auto"/>
              <w:rPr>
                <w:rFonts w:cs="Arial"/>
                <w:szCs w:val="22"/>
              </w:rPr>
            </w:pPr>
            <w:r w:rsidRPr="006C0405">
              <w:rPr>
                <w:rFonts w:cs="Arial"/>
                <w:szCs w:val="22"/>
              </w:rPr>
              <w:t> </w:t>
            </w:r>
          </w:p>
        </w:tc>
        <w:tc>
          <w:tcPr>
            <w:tcW w:w="0" w:type="auto"/>
            <w:gridSpan w:val="4"/>
            <w:vAlign w:val="center"/>
            <w:hideMark/>
          </w:tcPr>
          <w:p w14:paraId="24C59948" w14:textId="77777777" w:rsidR="00C33D94" w:rsidRPr="006C0405" w:rsidRDefault="00C33D94" w:rsidP="000029BA">
            <w:pPr>
              <w:tabs>
                <w:tab w:val="decimal" w:pos="1128"/>
              </w:tabs>
              <w:spacing w:line="360" w:lineRule="auto"/>
              <w:rPr>
                <w:rFonts w:cs="Arial"/>
                <w:szCs w:val="22"/>
              </w:rPr>
            </w:pPr>
            <w:r w:rsidRPr="002A2F20">
              <w:rPr>
                <w:rFonts w:cs="Arial"/>
                <w:szCs w:val="22"/>
              </w:rPr>
              <w:t>107</w:t>
            </w:r>
          </w:p>
        </w:tc>
        <w:tc>
          <w:tcPr>
            <w:tcW w:w="1423" w:type="dxa"/>
            <w:vAlign w:val="center"/>
            <w:hideMark/>
          </w:tcPr>
          <w:p w14:paraId="4B96291C" w14:textId="77777777" w:rsidR="00C33D94" w:rsidRPr="006C0405" w:rsidRDefault="00C33D94" w:rsidP="000029BA">
            <w:pPr>
              <w:tabs>
                <w:tab w:val="right" w:pos="978"/>
              </w:tabs>
              <w:spacing w:line="360" w:lineRule="auto"/>
              <w:rPr>
                <w:rFonts w:cs="Arial"/>
                <w:szCs w:val="22"/>
              </w:rPr>
            </w:pPr>
            <w:r w:rsidRPr="002A2F20">
              <w:rPr>
                <w:rFonts w:cs="Arial"/>
                <w:szCs w:val="22"/>
              </w:rPr>
              <w:tab/>
              <w:t>100</w:t>
            </w:r>
          </w:p>
        </w:tc>
      </w:tr>
      <w:tr w:rsidR="00C33D94" w:rsidRPr="006C0405" w14:paraId="30EC94EA" w14:textId="77777777" w:rsidTr="000029BA">
        <w:trPr>
          <w:gridAfter w:val="1"/>
          <w:tblCellSpacing w:w="15" w:type="dxa"/>
        </w:trPr>
        <w:tc>
          <w:tcPr>
            <w:tcW w:w="0" w:type="auto"/>
            <w:vAlign w:val="center"/>
            <w:hideMark/>
          </w:tcPr>
          <w:p w14:paraId="45CCDF45" w14:textId="77777777" w:rsidR="00C33D94" w:rsidRPr="006C0405" w:rsidRDefault="00C33D94" w:rsidP="000029BA">
            <w:pPr>
              <w:spacing w:line="360" w:lineRule="auto"/>
              <w:rPr>
                <w:rFonts w:cs="Arial"/>
                <w:szCs w:val="22"/>
              </w:rPr>
            </w:pPr>
            <w:r w:rsidRPr="006C0405">
              <w:rPr>
                <w:rFonts w:cs="Arial"/>
                <w:i/>
                <w:iCs/>
                <w:szCs w:val="22"/>
              </w:rPr>
              <w:t>Liabilities and Shareholders’ Equity</w:t>
            </w:r>
          </w:p>
        </w:tc>
        <w:tc>
          <w:tcPr>
            <w:tcW w:w="0" w:type="auto"/>
            <w:gridSpan w:val="4"/>
            <w:vAlign w:val="center"/>
            <w:hideMark/>
          </w:tcPr>
          <w:p w14:paraId="5F9E2598" w14:textId="77777777" w:rsidR="00C33D94" w:rsidRPr="006C0405" w:rsidRDefault="00C33D94" w:rsidP="000029BA">
            <w:pPr>
              <w:tabs>
                <w:tab w:val="decimal" w:pos="1128"/>
              </w:tabs>
              <w:spacing w:line="360" w:lineRule="auto"/>
              <w:rPr>
                <w:rFonts w:cs="Arial"/>
                <w:szCs w:val="22"/>
              </w:rPr>
            </w:pPr>
          </w:p>
        </w:tc>
        <w:tc>
          <w:tcPr>
            <w:tcW w:w="1423" w:type="dxa"/>
            <w:vAlign w:val="center"/>
            <w:hideMark/>
          </w:tcPr>
          <w:p w14:paraId="511515A7" w14:textId="77777777" w:rsidR="00C33D94" w:rsidRPr="006C0405" w:rsidRDefault="00C33D94" w:rsidP="000029BA">
            <w:pPr>
              <w:tabs>
                <w:tab w:val="right" w:pos="978"/>
              </w:tabs>
              <w:spacing w:line="360" w:lineRule="auto"/>
              <w:rPr>
                <w:rFonts w:cs="Arial"/>
                <w:szCs w:val="22"/>
              </w:rPr>
            </w:pPr>
          </w:p>
        </w:tc>
      </w:tr>
      <w:tr w:rsidR="00C33D94" w:rsidRPr="006C0405" w14:paraId="0F7F3C67" w14:textId="77777777" w:rsidTr="000029BA">
        <w:trPr>
          <w:gridAfter w:val="1"/>
          <w:tblCellSpacing w:w="15" w:type="dxa"/>
        </w:trPr>
        <w:tc>
          <w:tcPr>
            <w:tcW w:w="0" w:type="auto"/>
            <w:vAlign w:val="center"/>
            <w:hideMark/>
          </w:tcPr>
          <w:p w14:paraId="7F19A866" w14:textId="77777777" w:rsidR="00C33D94" w:rsidRPr="006C0405" w:rsidRDefault="00C33D94" w:rsidP="000029BA">
            <w:pPr>
              <w:spacing w:line="360" w:lineRule="auto"/>
              <w:rPr>
                <w:rFonts w:cs="Arial"/>
                <w:szCs w:val="22"/>
              </w:rPr>
            </w:pPr>
            <w:r w:rsidRPr="006C0405">
              <w:rPr>
                <w:rFonts w:cs="Arial"/>
                <w:szCs w:val="22"/>
              </w:rPr>
              <w:t>Accounts payable</w:t>
            </w:r>
          </w:p>
        </w:tc>
        <w:tc>
          <w:tcPr>
            <w:tcW w:w="0" w:type="auto"/>
            <w:gridSpan w:val="4"/>
            <w:vAlign w:val="center"/>
            <w:hideMark/>
          </w:tcPr>
          <w:p w14:paraId="165E57A1" w14:textId="77777777" w:rsidR="00C33D94" w:rsidRPr="006C0405" w:rsidRDefault="00C33D94" w:rsidP="000029BA">
            <w:pPr>
              <w:tabs>
                <w:tab w:val="decimal" w:pos="1128"/>
              </w:tabs>
              <w:spacing w:line="360" w:lineRule="auto"/>
              <w:rPr>
                <w:rFonts w:cs="Arial"/>
                <w:szCs w:val="22"/>
              </w:rPr>
            </w:pPr>
            <w:r w:rsidRPr="002A2F20">
              <w:rPr>
                <w:rFonts w:cs="Arial"/>
                <w:szCs w:val="22"/>
              </w:rPr>
              <w:t>97</w:t>
            </w:r>
          </w:p>
        </w:tc>
        <w:tc>
          <w:tcPr>
            <w:tcW w:w="1423" w:type="dxa"/>
            <w:vAlign w:val="center"/>
            <w:hideMark/>
          </w:tcPr>
          <w:p w14:paraId="3C5477A8" w14:textId="77777777" w:rsidR="00C33D94" w:rsidRPr="006C0405" w:rsidRDefault="00C33D94" w:rsidP="000029BA">
            <w:pPr>
              <w:tabs>
                <w:tab w:val="right" w:pos="978"/>
              </w:tabs>
              <w:spacing w:line="360" w:lineRule="auto"/>
              <w:rPr>
                <w:rFonts w:cs="Arial"/>
                <w:szCs w:val="22"/>
              </w:rPr>
            </w:pPr>
            <w:r w:rsidRPr="002A2F20">
              <w:rPr>
                <w:rFonts w:cs="Arial"/>
                <w:szCs w:val="22"/>
              </w:rPr>
              <w:tab/>
              <w:t>100</w:t>
            </w:r>
          </w:p>
        </w:tc>
      </w:tr>
      <w:tr w:rsidR="00C33D94" w:rsidRPr="006C0405" w14:paraId="2A3C64D3" w14:textId="77777777" w:rsidTr="000029BA">
        <w:trPr>
          <w:gridAfter w:val="1"/>
          <w:tblCellSpacing w:w="15" w:type="dxa"/>
        </w:trPr>
        <w:tc>
          <w:tcPr>
            <w:tcW w:w="0" w:type="auto"/>
            <w:vAlign w:val="center"/>
            <w:hideMark/>
          </w:tcPr>
          <w:p w14:paraId="1F3D0320" w14:textId="77777777" w:rsidR="00C33D94" w:rsidRPr="006C0405" w:rsidRDefault="00C33D94" w:rsidP="000029BA">
            <w:pPr>
              <w:spacing w:line="360" w:lineRule="auto"/>
              <w:rPr>
                <w:rFonts w:cs="Arial"/>
                <w:szCs w:val="22"/>
              </w:rPr>
            </w:pPr>
            <w:r w:rsidRPr="006C0405">
              <w:rPr>
                <w:rFonts w:cs="Arial"/>
                <w:szCs w:val="22"/>
              </w:rPr>
              <w:t>Other accrued liabilities</w:t>
            </w:r>
          </w:p>
        </w:tc>
        <w:tc>
          <w:tcPr>
            <w:tcW w:w="0" w:type="auto"/>
            <w:gridSpan w:val="4"/>
            <w:vAlign w:val="center"/>
            <w:hideMark/>
          </w:tcPr>
          <w:p w14:paraId="02ADB5F3" w14:textId="77777777" w:rsidR="00C33D94" w:rsidRPr="006C0405" w:rsidRDefault="00C33D94" w:rsidP="000029BA">
            <w:pPr>
              <w:tabs>
                <w:tab w:val="decimal" w:pos="1128"/>
              </w:tabs>
              <w:spacing w:line="360" w:lineRule="auto"/>
              <w:rPr>
                <w:rFonts w:cs="Arial"/>
                <w:szCs w:val="22"/>
              </w:rPr>
            </w:pPr>
            <w:r w:rsidRPr="002A2F20">
              <w:rPr>
                <w:rFonts w:cs="Arial"/>
                <w:szCs w:val="22"/>
              </w:rPr>
              <w:t>120</w:t>
            </w:r>
          </w:p>
        </w:tc>
        <w:tc>
          <w:tcPr>
            <w:tcW w:w="1423" w:type="dxa"/>
            <w:vAlign w:val="center"/>
            <w:hideMark/>
          </w:tcPr>
          <w:p w14:paraId="5D29DE27" w14:textId="77777777" w:rsidR="00C33D94" w:rsidRPr="006C0405" w:rsidRDefault="00C33D94" w:rsidP="000029BA">
            <w:pPr>
              <w:tabs>
                <w:tab w:val="right" w:pos="978"/>
              </w:tabs>
              <w:spacing w:line="360" w:lineRule="auto"/>
              <w:rPr>
                <w:rFonts w:cs="Arial"/>
                <w:szCs w:val="22"/>
              </w:rPr>
            </w:pPr>
            <w:r w:rsidRPr="002A2F20">
              <w:rPr>
                <w:rFonts w:cs="Arial"/>
                <w:szCs w:val="22"/>
              </w:rPr>
              <w:tab/>
              <w:t>100</w:t>
            </w:r>
          </w:p>
        </w:tc>
      </w:tr>
      <w:tr w:rsidR="00C33D94" w:rsidRPr="006C0405" w14:paraId="763500D3" w14:textId="77777777" w:rsidTr="000029BA">
        <w:trPr>
          <w:gridAfter w:val="1"/>
          <w:tblCellSpacing w:w="15" w:type="dxa"/>
        </w:trPr>
        <w:tc>
          <w:tcPr>
            <w:tcW w:w="0" w:type="auto"/>
            <w:vAlign w:val="center"/>
            <w:hideMark/>
          </w:tcPr>
          <w:p w14:paraId="69F4B749" w14:textId="77777777" w:rsidR="00C33D94" w:rsidRPr="006C0405" w:rsidRDefault="00C33D94" w:rsidP="000029BA">
            <w:pPr>
              <w:spacing w:line="360" w:lineRule="auto"/>
              <w:rPr>
                <w:rFonts w:cs="Arial"/>
                <w:szCs w:val="22"/>
              </w:rPr>
            </w:pPr>
            <w:r w:rsidRPr="006C0405">
              <w:rPr>
                <w:rFonts w:cs="Arial"/>
                <w:szCs w:val="22"/>
              </w:rPr>
              <w:t>Bonds payable</w:t>
            </w:r>
          </w:p>
        </w:tc>
        <w:tc>
          <w:tcPr>
            <w:tcW w:w="0" w:type="auto"/>
            <w:gridSpan w:val="4"/>
            <w:vAlign w:val="center"/>
            <w:hideMark/>
          </w:tcPr>
          <w:p w14:paraId="6C28540B" w14:textId="77777777" w:rsidR="00C33D94" w:rsidRPr="006C0405" w:rsidRDefault="00C33D94" w:rsidP="000029BA">
            <w:pPr>
              <w:tabs>
                <w:tab w:val="decimal" w:pos="1128"/>
              </w:tabs>
              <w:spacing w:line="360" w:lineRule="auto"/>
              <w:rPr>
                <w:rFonts w:cs="Arial"/>
                <w:szCs w:val="22"/>
              </w:rPr>
            </w:pPr>
            <w:r w:rsidRPr="002A2F20">
              <w:rPr>
                <w:rFonts w:cs="Arial"/>
                <w:szCs w:val="22"/>
              </w:rPr>
              <w:t>100</w:t>
            </w:r>
          </w:p>
        </w:tc>
        <w:tc>
          <w:tcPr>
            <w:tcW w:w="1423" w:type="dxa"/>
            <w:vAlign w:val="center"/>
            <w:hideMark/>
          </w:tcPr>
          <w:p w14:paraId="622D12BE" w14:textId="77777777" w:rsidR="00C33D94" w:rsidRPr="006C0405" w:rsidRDefault="00C33D94" w:rsidP="000029BA">
            <w:pPr>
              <w:tabs>
                <w:tab w:val="right" w:pos="978"/>
              </w:tabs>
              <w:spacing w:line="360" w:lineRule="auto"/>
              <w:rPr>
                <w:rFonts w:cs="Arial"/>
                <w:szCs w:val="22"/>
              </w:rPr>
            </w:pPr>
            <w:r w:rsidRPr="002A2F20">
              <w:rPr>
                <w:rFonts w:cs="Arial"/>
                <w:szCs w:val="22"/>
              </w:rPr>
              <w:tab/>
              <w:t>100</w:t>
            </w:r>
          </w:p>
        </w:tc>
      </w:tr>
      <w:tr w:rsidR="00C33D94" w:rsidRPr="006C0405" w14:paraId="729A2F05" w14:textId="77777777" w:rsidTr="000029BA">
        <w:trPr>
          <w:gridAfter w:val="1"/>
          <w:tblCellSpacing w:w="15" w:type="dxa"/>
        </w:trPr>
        <w:tc>
          <w:tcPr>
            <w:tcW w:w="0" w:type="auto"/>
            <w:vAlign w:val="center"/>
            <w:hideMark/>
          </w:tcPr>
          <w:p w14:paraId="6A6D9DE1" w14:textId="77777777" w:rsidR="00C33D94" w:rsidRPr="006C0405" w:rsidRDefault="00C33D94" w:rsidP="000029BA">
            <w:pPr>
              <w:spacing w:line="360" w:lineRule="auto"/>
              <w:rPr>
                <w:rFonts w:cs="Arial"/>
                <w:szCs w:val="22"/>
              </w:rPr>
            </w:pPr>
            <w:r w:rsidRPr="006C0405">
              <w:rPr>
                <w:rFonts w:cs="Arial"/>
                <w:szCs w:val="22"/>
              </w:rPr>
              <w:t>Common shares</w:t>
            </w:r>
          </w:p>
        </w:tc>
        <w:tc>
          <w:tcPr>
            <w:tcW w:w="0" w:type="auto"/>
            <w:gridSpan w:val="4"/>
            <w:vAlign w:val="center"/>
            <w:hideMark/>
          </w:tcPr>
          <w:p w14:paraId="0A4EAB11" w14:textId="77777777" w:rsidR="00C33D94" w:rsidRPr="006C0405" w:rsidRDefault="00C33D94" w:rsidP="000029BA">
            <w:pPr>
              <w:tabs>
                <w:tab w:val="decimal" w:pos="1128"/>
              </w:tabs>
              <w:spacing w:line="360" w:lineRule="auto"/>
              <w:rPr>
                <w:rFonts w:cs="Arial"/>
                <w:szCs w:val="22"/>
              </w:rPr>
            </w:pPr>
            <w:r w:rsidRPr="002A2F20">
              <w:rPr>
                <w:rFonts w:cs="Arial"/>
                <w:szCs w:val="22"/>
              </w:rPr>
              <w:t>100</w:t>
            </w:r>
          </w:p>
        </w:tc>
        <w:tc>
          <w:tcPr>
            <w:tcW w:w="1423" w:type="dxa"/>
            <w:vAlign w:val="center"/>
            <w:hideMark/>
          </w:tcPr>
          <w:p w14:paraId="070554FD" w14:textId="77777777" w:rsidR="00C33D94" w:rsidRPr="006C0405" w:rsidRDefault="00C33D94" w:rsidP="000029BA">
            <w:pPr>
              <w:tabs>
                <w:tab w:val="right" w:pos="978"/>
              </w:tabs>
              <w:spacing w:line="360" w:lineRule="auto"/>
              <w:rPr>
                <w:rFonts w:cs="Arial"/>
                <w:szCs w:val="22"/>
              </w:rPr>
            </w:pPr>
            <w:r w:rsidRPr="002A2F20">
              <w:rPr>
                <w:rFonts w:cs="Arial"/>
                <w:szCs w:val="22"/>
              </w:rPr>
              <w:tab/>
              <w:t>100</w:t>
            </w:r>
          </w:p>
        </w:tc>
      </w:tr>
      <w:tr w:rsidR="00C33D94" w:rsidRPr="006C0405" w14:paraId="0FD182AF" w14:textId="77777777" w:rsidTr="000029BA">
        <w:trPr>
          <w:gridAfter w:val="1"/>
          <w:tblCellSpacing w:w="15" w:type="dxa"/>
        </w:trPr>
        <w:tc>
          <w:tcPr>
            <w:tcW w:w="0" w:type="auto"/>
            <w:vAlign w:val="center"/>
            <w:hideMark/>
          </w:tcPr>
          <w:p w14:paraId="200ACD1A" w14:textId="77777777" w:rsidR="00C33D94" w:rsidRPr="006C0405" w:rsidRDefault="00C33D94" w:rsidP="000029BA">
            <w:pPr>
              <w:spacing w:line="360" w:lineRule="auto"/>
              <w:rPr>
                <w:rFonts w:cs="Arial"/>
                <w:szCs w:val="22"/>
              </w:rPr>
            </w:pPr>
            <w:r w:rsidRPr="006C0405">
              <w:rPr>
                <w:rFonts w:cs="Arial"/>
                <w:szCs w:val="22"/>
              </w:rPr>
              <w:t>Retained earnings</w:t>
            </w:r>
          </w:p>
        </w:tc>
        <w:tc>
          <w:tcPr>
            <w:tcW w:w="0" w:type="auto"/>
            <w:gridSpan w:val="4"/>
            <w:vAlign w:val="center"/>
            <w:hideMark/>
          </w:tcPr>
          <w:p w14:paraId="596B22B4" w14:textId="77777777" w:rsidR="00C33D94" w:rsidRPr="006C0405" w:rsidRDefault="00C33D94" w:rsidP="000029BA">
            <w:pPr>
              <w:tabs>
                <w:tab w:val="decimal" w:pos="1128"/>
              </w:tabs>
              <w:spacing w:line="360" w:lineRule="auto"/>
              <w:rPr>
                <w:rFonts w:cs="Arial"/>
                <w:szCs w:val="22"/>
              </w:rPr>
            </w:pPr>
            <w:r w:rsidRPr="002A2F20">
              <w:rPr>
                <w:rFonts w:cs="Arial"/>
                <w:szCs w:val="22"/>
              </w:rPr>
              <w:t>  129</w:t>
            </w:r>
          </w:p>
        </w:tc>
        <w:tc>
          <w:tcPr>
            <w:tcW w:w="1423" w:type="dxa"/>
            <w:vAlign w:val="center"/>
            <w:hideMark/>
          </w:tcPr>
          <w:p w14:paraId="7E1F3F6F" w14:textId="77777777" w:rsidR="00C33D94" w:rsidRPr="006C0405" w:rsidRDefault="00C33D94" w:rsidP="000029BA">
            <w:pPr>
              <w:tabs>
                <w:tab w:val="right" w:pos="978"/>
              </w:tabs>
              <w:spacing w:line="360" w:lineRule="auto"/>
              <w:rPr>
                <w:rFonts w:cs="Arial"/>
                <w:szCs w:val="22"/>
              </w:rPr>
            </w:pPr>
            <w:r w:rsidRPr="002A2F20">
              <w:rPr>
                <w:rFonts w:cs="Arial"/>
                <w:szCs w:val="22"/>
              </w:rPr>
              <w:tab/>
              <w:t>100</w:t>
            </w:r>
          </w:p>
        </w:tc>
      </w:tr>
      <w:tr w:rsidR="00C33D94" w:rsidRPr="006C0405" w14:paraId="7AE7FB17" w14:textId="77777777" w:rsidTr="000029BA">
        <w:trPr>
          <w:gridAfter w:val="1"/>
          <w:tblCellSpacing w:w="15" w:type="dxa"/>
        </w:trPr>
        <w:tc>
          <w:tcPr>
            <w:tcW w:w="0" w:type="auto"/>
            <w:vAlign w:val="center"/>
            <w:hideMark/>
          </w:tcPr>
          <w:p w14:paraId="738F22B4" w14:textId="77777777" w:rsidR="00C33D94" w:rsidRPr="006C0405" w:rsidRDefault="00C33D94" w:rsidP="000029BA">
            <w:pPr>
              <w:spacing w:line="360" w:lineRule="auto"/>
              <w:rPr>
                <w:rFonts w:cs="Arial"/>
                <w:szCs w:val="22"/>
              </w:rPr>
            </w:pPr>
            <w:r w:rsidRPr="006C0405">
              <w:rPr>
                <w:rFonts w:cs="Arial"/>
                <w:szCs w:val="22"/>
              </w:rPr>
              <w:t> </w:t>
            </w:r>
          </w:p>
        </w:tc>
        <w:tc>
          <w:tcPr>
            <w:tcW w:w="0" w:type="auto"/>
            <w:gridSpan w:val="4"/>
            <w:vAlign w:val="center"/>
            <w:hideMark/>
          </w:tcPr>
          <w:p w14:paraId="553336E5" w14:textId="77777777" w:rsidR="00C33D94" w:rsidRPr="006C0405" w:rsidRDefault="00C33D94" w:rsidP="000029BA">
            <w:pPr>
              <w:tabs>
                <w:tab w:val="decimal" w:pos="1128"/>
              </w:tabs>
              <w:spacing w:line="360" w:lineRule="auto"/>
              <w:rPr>
                <w:rFonts w:cs="Arial"/>
                <w:szCs w:val="22"/>
              </w:rPr>
            </w:pPr>
            <w:r w:rsidRPr="002A2F20">
              <w:rPr>
                <w:rFonts w:cs="Arial"/>
                <w:szCs w:val="22"/>
              </w:rPr>
              <w:t>107</w:t>
            </w:r>
          </w:p>
        </w:tc>
        <w:tc>
          <w:tcPr>
            <w:tcW w:w="1423" w:type="dxa"/>
            <w:vAlign w:val="center"/>
            <w:hideMark/>
          </w:tcPr>
          <w:p w14:paraId="28CDD16D" w14:textId="77777777" w:rsidR="00C33D94" w:rsidRPr="006C0405" w:rsidRDefault="00C33D94" w:rsidP="000029BA">
            <w:pPr>
              <w:tabs>
                <w:tab w:val="right" w:pos="978"/>
              </w:tabs>
              <w:spacing w:line="360" w:lineRule="auto"/>
              <w:rPr>
                <w:rFonts w:cs="Arial"/>
                <w:szCs w:val="22"/>
              </w:rPr>
            </w:pPr>
            <w:r w:rsidRPr="002A2F20">
              <w:rPr>
                <w:rFonts w:cs="Arial"/>
                <w:szCs w:val="22"/>
              </w:rPr>
              <w:tab/>
              <w:t>100</w:t>
            </w:r>
          </w:p>
        </w:tc>
      </w:tr>
      <w:tr w:rsidR="00C33D94" w:rsidRPr="006C0405" w14:paraId="6A3B7F8A" w14:textId="77777777" w:rsidTr="000029BA">
        <w:trPr>
          <w:gridAfter w:val="4"/>
          <w:wAfter w:w="2482" w:type="dxa"/>
          <w:tblCellSpacing w:w="15" w:type="dxa"/>
        </w:trPr>
        <w:tc>
          <w:tcPr>
            <w:tcW w:w="0" w:type="auto"/>
            <w:gridSpan w:val="3"/>
            <w:vAlign w:val="center"/>
            <w:hideMark/>
          </w:tcPr>
          <w:p w14:paraId="30989FE9" w14:textId="77777777" w:rsidR="00C33D94" w:rsidRPr="006C0405" w:rsidRDefault="00C33D94" w:rsidP="000029BA">
            <w:pPr>
              <w:spacing w:line="360" w:lineRule="auto"/>
              <w:rPr>
                <w:rFonts w:cs="Arial"/>
                <w:szCs w:val="22"/>
              </w:rPr>
            </w:pPr>
            <w:r w:rsidRPr="006C0405">
              <w:rPr>
                <w:rFonts w:cs="Arial"/>
                <w:b/>
                <w:bCs/>
                <w:szCs w:val="22"/>
              </w:rPr>
              <w:t>INCOME STATEMENT</w:t>
            </w:r>
          </w:p>
        </w:tc>
      </w:tr>
      <w:tr w:rsidR="00C33D94" w:rsidRPr="002A2F20" w14:paraId="5D57A1D1" w14:textId="77777777" w:rsidTr="000029BA">
        <w:trPr>
          <w:gridAfter w:val="1"/>
          <w:tblCellSpacing w:w="15" w:type="dxa"/>
        </w:trPr>
        <w:tc>
          <w:tcPr>
            <w:tcW w:w="4095" w:type="dxa"/>
            <w:gridSpan w:val="2"/>
            <w:vAlign w:val="center"/>
            <w:hideMark/>
          </w:tcPr>
          <w:p w14:paraId="0798BF6E" w14:textId="77777777" w:rsidR="00C33D94" w:rsidRPr="006C0405" w:rsidRDefault="00C33D94" w:rsidP="000029BA">
            <w:pPr>
              <w:spacing w:line="360" w:lineRule="auto"/>
              <w:rPr>
                <w:rFonts w:cs="Arial"/>
                <w:szCs w:val="22"/>
              </w:rPr>
            </w:pPr>
            <w:r w:rsidRPr="006C0405">
              <w:rPr>
                <w:rFonts w:cs="Arial"/>
                <w:szCs w:val="22"/>
              </w:rPr>
              <w:t> </w:t>
            </w:r>
          </w:p>
        </w:tc>
        <w:tc>
          <w:tcPr>
            <w:tcW w:w="1410" w:type="dxa"/>
            <w:gridSpan w:val="2"/>
            <w:vAlign w:val="center"/>
            <w:hideMark/>
          </w:tcPr>
          <w:p w14:paraId="09F4A0D4" w14:textId="77777777" w:rsidR="00C33D94" w:rsidRPr="006C0405" w:rsidRDefault="00C33D94" w:rsidP="000029BA">
            <w:pPr>
              <w:spacing w:line="360" w:lineRule="auto"/>
              <w:rPr>
                <w:rFonts w:cs="Arial"/>
                <w:szCs w:val="22"/>
              </w:rPr>
            </w:pPr>
            <w:r w:rsidRPr="002A2F20">
              <w:rPr>
                <w:rFonts w:cs="Arial"/>
                <w:i/>
                <w:iCs/>
                <w:szCs w:val="22"/>
              </w:rPr>
              <w:t xml:space="preserve">       </w:t>
            </w:r>
            <w:r w:rsidRPr="006C0405">
              <w:rPr>
                <w:rFonts w:cs="Arial"/>
                <w:i/>
                <w:iCs/>
                <w:szCs w:val="22"/>
              </w:rPr>
              <w:t>Year 7</w:t>
            </w:r>
          </w:p>
        </w:tc>
        <w:tc>
          <w:tcPr>
            <w:tcW w:w="1732" w:type="dxa"/>
            <w:gridSpan w:val="2"/>
            <w:vAlign w:val="center"/>
            <w:hideMark/>
          </w:tcPr>
          <w:p w14:paraId="08CA8B88" w14:textId="77777777" w:rsidR="00C33D94" w:rsidRPr="006C0405" w:rsidRDefault="00C33D94" w:rsidP="000029BA">
            <w:pPr>
              <w:spacing w:line="360" w:lineRule="auto"/>
              <w:rPr>
                <w:rFonts w:cs="Arial"/>
                <w:szCs w:val="22"/>
              </w:rPr>
            </w:pPr>
            <w:r w:rsidRPr="002A2F20">
              <w:rPr>
                <w:rFonts w:cs="Arial"/>
                <w:i/>
                <w:iCs/>
                <w:szCs w:val="22"/>
              </w:rPr>
              <w:t xml:space="preserve">           Y</w:t>
            </w:r>
            <w:r w:rsidRPr="006C0405">
              <w:rPr>
                <w:rFonts w:cs="Arial"/>
                <w:i/>
                <w:iCs/>
                <w:szCs w:val="22"/>
              </w:rPr>
              <w:t>ear 6</w:t>
            </w:r>
          </w:p>
        </w:tc>
      </w:tr>
      <w:tr w:rsidR="00C33D94" w:rsidRPr="002A2F20" w14:paraId="7F7072D6" w14:textId="77777777" w:rsidTr="000029BA">
        <w:trPr>
          <w:gridAfter w:val="1"/>
          <w:tblCellSpacing w:w="15" w:type="dxa"/>
        </w:trPr>
        <w:tc>
          <w:tcPr>
            <w:tcW w:w="4095" w:type="dxa"/>
            <w:gridSpan w:val="2"/>
            <w:vAlign w:val="center"/>
            <w:hideMark/>
          </w:tcPr>
          <w:p w14:paraId="05E7BEB9" w14:textId="77777777" w:rsidR="00C33D94" w:rsidRPr="006C0405" w:rsidRDefault="00C33D94" w:rsidP="000029BA">
            <w:pPr>
              <w:spacing w:line="360" w:lineRule="auto"/>
              <w:rPr>
                <w:rFonts w:cs="Arial"/>
                <w:szCs w:val="22"/>
              </w:rPr>
            </w:pPr>
            <w:r w:rsidRPr="006C0405">
              <w:rPr>
                <w:rFonts w:cs="Arial"/>
                <w:szCs w:val="22"/>
              </w:rPr>
              <w:t>Sales</w:t>
            </w:r>
          </w:p>
        </w:tc>
        <w:tc>
          <w:tcPr>
            <w:tcW w:w="1410" w:type="dxa"/>
            <w:gridSpan w:val="2"/>
            <w:vAlign w:val="center"/>
            <w:hideMark/>
          </w:tcPr>
          <w:p w14:paraId="268C72FC" w14:textId="20DB4EF9" w:rsidR="00C33D94" w:rsidRPr="006C0405" w:rsidRDefault="00C33D94" w:rsidP="000029BA">
            <w:pPr>
              <w:tabs>
                <w:tab w:val="decimal" w:pos="774"/>
              </w:tabs>
              <w:spacing w:line="360" w:lineRule="auto"/>
              <w:rPr>
                <w:rFonts w:cs="Arial"/>
                <w:szCs w:val="22"/>
              </w:rPr>
            </w:pPr>
            <w:r w:rsidRPr="002A2F20">
              <w:rPr>
                <w:rFonts w:cs="Arial"/>
                <w:szCs w:val="22"/>
              </w:rPr>
              <w:t>10</w:t>
            </w:r>
            <w:r w:rsidR="00606504">
              <w:rPr>
                <w:rFonts w:cs="Arial"/>
                <w:szCs w:val="22"/>
              </w:rPr>
              <w:t>3</w:t>
            </w:r>
          </w:p>
        </w:tc>
        <w:tc>
          <w:tcPr>
            <w:tcW w:w="1732" w:type="dxa"/>
            <w:gridSpan w:val="2"/>
            <w:vAlign w:val="center"/>
            <w:hideMark/>
          </w:tcPr>
          <w:p w14:paraId="7523F4BA" w14:textId="77777777" w:rsidR="00C33D94" w:rsidRPr="006C0405" w:rsidRDefault="00C33D94" w:rsidP="000029BA">
            <w:pPr>
              <w:tabs>
                <w:tab w:val="right" w:pos="1314"/>
              </w:tabs>
              <w:spacing w:line="360" w:lineRule="auto"/>
              <w:rPr>
                <w:rFonts w:cs="Arial"/>
                <w:szCs w:val="22"/>
              </w:rPr>
            </w:pPr>
            <w:r w:rsidRPr="002A2F20">
              <w:rPr>
                <w:rFonts w:cs="Arial"/>
                <w:szCs w:val="22"/>
              </w:rPr>
              <w:tab/>
              <w:t>100</w:t>
            </w:r>
          </w:p>
        </w:tc>
      </w:tr>
      <w:tr w:rsidR="00C33D94" w:rsidRPr="002A2F20" w14:paraId="7389260B" w14:textId="77777777" w:rsidTr="000029BA">
        <w:trPr>
          <w:gridAfter w:val="1"/>
          <w:tblCellSpacing w:w="15" w:type="dxa"/>
        </w:trPr>
        <w:tc>
          <w:tcPr>
            <w:tcW w:w="4095" w:type="dxa"/>
            <w:gridSpan w:val="2"/>
            <w:vAlign w:val="center"/>
            <w:hideMark/>
          </w:tcPr>
          <w:p w14:paraId="17F271E8" w14:textId="77777777" w:rsidR="00C33D94" w:rsidRPr="006C0405" w:rsidRDefault="00C33D94" w:rsidP="000029BA">
            <w:pPr>
              <w:spacing w:line="360" w:lineRule="auto"/>
              <w:rPr>
                <w:rFonts w:cs="Arial"/>
                <w:szCs w:val="22"/>
              </w:rPr>
            </w:pPr>
            <w:r w:rsidRPr="006C0405">
              <w:rPr>
                <w:rFonts w:cs="Arial"/>
                <w:szCs w:val="22"/>
              </w:rPr>
              <w:t>Cost of goods sold</w:t>
            </w:r>
          </w:p>
        </w:tc>
        <w:tc>
          <w:tcPr>
            <w:tcW w:w="1410" w:type="dxa"/>
            <w:gridSpan w:val="2"/>
            <w:vAlign w:val="center"/>
            <w:hideMark/>
          </w:tcPr>
          <w:p w14:paraId="4B0895FD" w14:textId="18715D28" w:rsidR="00C33D94" w:rsidRPr="006C0405" w:rsidRDefault="00C33D94" w:rsidP="000029BA">
            <w:pPr>
              <w:tabs>
                <w:tab w:val="decimal" w:pos="774"/>
              </w:tabs>
              <w:spacing w:line="360" w:lineRule="auto"/>
              <w:rPr>
                <w:rFonts w:cs="Arial"/>
                <w:szCs w:val="22"/>
              </w:rPr>
            </w:pPr>
            <w:r w:rsidRPr="002A2F20">
              <w:rPr>
                <w:rFonts w:cs="Arial"/>
                <w:szCs w:val="22"/>
              </w:rPr>
              <w:t>1</w:t>
            </w:r>
            <w:r w:rsidR="00606504">
              <w:rPr>
                <w:rFonts w:cs="Arial"/>
                <w:szCs w:val="22"/>
              </w:rPr>
              <w:t>06</w:t>
            </w:r>
          </w:p>
        </w:tc>
        <w:tc>
          <w:tcPr>
            <w:tcW w:w="1732" w:type="dxa"/>
            <w:gridSpan w:val="2"/>
            <w:vAlign w:val="center"/>
            <w:hideMark/>
          </w:tcPr>
          <w:p w14:paraId="236EFA68" w14:textId="77777777" w:rsidR="00C33D94" w:rsidRPr="006C0405" w:rsidRDefault="00C33D94" w:rsidP="000029BA">
            <w:pPr>
              <w:tabs>
                <w:tab w:val="right" w:pos="1314"/>
              </w:tabs>
              <w:spacing w:line="360" w:lineRule="auto"/>
              <w:rPr>
                <w:rFonts w:cs="Arial"/>
                <w:szCs w:val="22"/>
              </w:rPr>
            </w:pPr>
            <w:r w:rsidRPr="002A2F20">
              <w:rPr>
                <w:rFonts w:cs="Arial"/>
                <w:szCs w:val="22"/>
              </w:rPr>
              <w:tab/>
              <w:t>100</w:t>
            </w:r>
          </w:p>
        </w:tc>
      </w:tr>
      <w:tr w:rsidR="00C33D94" w:rsidRPr="002A2F20" w14:paraId="6D83F671" w14:textId="77777777" w:rsidTr="000029BA">
        <w:trPr>
          <w:gridAfter w:val="1"/>
          <w:tblCellSpacing w:w="15" w:type="dxa"/>
        </w:trPr>
        <w:tc>
          <w:tcPr>
            <w:tcW w:w="4095" w:type="dxa"/>
            <w:gridSpan w:val="2"/>
            <w:vAlign w:val="center"/>
            <w:hideMark/>
          </w:tcPr>
          <w:p w14:paraId="6F857206" w14:textId="77777777" w:rsidR="00C33D94" w:rsidRPr="006C0405" w:rsidRDefault="00C33D94" w:rsidP="000029BA">
            <w:pPr>
              <w:spacing w:line="360" w:lineRule="auto"/>
              <w:rPr>
                <w:rFonts w:cs="Arial"/>
                <w:szCs w:val="22"/>
              </w:rPr>
            </w:pPr>
            <w:r w:rsidRPr="006C0405">
              <w:rPr>
                <w:rFonts w:cs="Arial"/>
                <w:szCs w:val="22"/>
              </w:rPr>
              <w:t>Gross margin</w:t>
            </w:r>
          </w:p>
        </w:tc>
        <w:tc>
          <w:tcPr>
            <w:tcW w:w="1410" w:type="dxa"/>
            <w:gridSpan w:val="2"/>
            <w:vAlign w:val="center"/>
            <w:hideMark/>
          </w:tcPr>
          <w:p w14:paraId="6D743E19" w14:textId="500F91EF" w:rsidR="00C33D94" w:rsidRPr="006C0405" w:rsidRDefault="00C33D94" w:rsidP="000029BA">
            <w:pPr>
              <w:tabs>
                <w:tab w:val="decimal" w:pos="774"/>
              </w:tabs>
              <w:spacing w:line="360" w:lineRule="auto"/>
              <w:rPr>
                <w:rFonts w:cs="Arial"/>
                <w:szCs w:val="22"/>
              </w:rPr>
            </w:pPr>
            <w:r w:rsidRPr="002A2F20">
              <w:rPr>
                <w:rFonts w:cs="Arial"/>
                <w:szCs w:val="22"/>
              </w:rPr>
              <w:t>9</w:t>
            </w:r>
            <w:r w:rsidR="00606504">
              <w:rPr>
                <w:rFonts w:cs="Arial"/>
                <w:szCs w:val="22"/>
              </w:rPr>
              <w:t>5</w:t>
            </w:r>
            <w:r w:rsidRPr="006C0405">
              <w:rPr>
                <w:rFonts w:cs="Arial"/>
                <w:szCs w:val="22"/>
              </w:rPr>
              <w:t> </w:t>
            </w:r>
          </w:p>
        </w:tc>
        <w:tc>
          <w:tcPr>
            <w:tcW w:w="1732" w:type="dxa"/>
            <w:gridSpan w:val="2"/>
            <w:vAlign w:val="center"/>
            <w:hideMark/>
          </w:tcPr>
          <w:p w14:paraId="1F7F30E8" w14:textId="77777777" w:rsidR="00C33D94" w:rsidRPr="006C0405" w:rsidRDefault="00C33D94" w:rsidP="000029BA">
            <w:pPr>
              <w:tabs>
                <w:tab w:val="right" w:pos="1314"/>
              </w:tabs>
              <w:spacing w:line="360" w:lineRule="auto"/>
              <w:rPr>
                <w:rFonts w:cs="Arial"/>
                <w:szCs w:val="22"/>
              </w:rPr>
            </w:pPr>
            <w:r w:rsidRPr="002A2F20">
              <w:rPr>
                <w:rFonts w:cs="Arial"/>
                <w:szCs w:val="22"/>
              </w:rPr>
              <w:tab/>
              <w:t>100</w:t>
            </w:r>
          </w:p>
        </w:tc>
      </w:tr>
      <w:tr w:rsidR="00C33D94" w:rsidRPr="002A2F20" w14:paraId="14382A0F" w14:textId="77777777" w:rsidTr="000029BA">
        <w:trPr>
          <w:gridAfter w:val="1"/>
          <w:tblCellSpacing w:w="15" w:type="dxa"/>
        </w:trPr>
        <w:tc>
          <w:tcPr>
            <w:tcW w:w="4095" w:type="dxa"/>
            <w:gridSpan w:val="2"/>
            <w:vAlign w:val="center"/>
            <w:hideMark/>
          </w:tcPr>
          <w:p w14:paraId="7A9235CC" w14:textId="77777777" w:rsidR="00C33D94" w:rsidRPr="006C0405" w:rsidRDefault="00C33D94" w:rsidP="000029BA">
            <w:pPr>
              <w:spacing w:line="360" w:lineRule="auto"/>
              <w:rPr>
                <w:rFonts w:cs="Arial"/>
                <w:szCs w:val="22"/>
              </w:rPr>
            </w:pPr>
            <w:r w:rsidRPr="002A2F20">
              <w:rPr>
                <w:rFonts w:cs="Arial"/>
                <w:szCs w:val="22"/>
              </w:rPr>
              <w:t xml:space="preserve">Depreciation </w:t>
            </w:r>
            <w:r w:rsidRPr="006C0405">
              <w:rPr>
                <w:rFonts w:cs="Arial"/>
                <w:szCs w:val="22"/>
              </w:rPr>
              <w:t>expense</w:t>
            </w:r>
          </w:p>
        </w:tc>
        <w:tc>
          <w:tcPr>
            <w:tcW w:w="1410" w:type="dxa"/>
            <w:gridSpan w:val="2"/>
            <w:vAlign w:val="center"/>
            <w:hideMark/>
          </w:tcPr>
          <w:p w14:paraId="5626D0EA" w14:textId="005E65D4" w:rsidR="00C33D94" w:rsidRPr="006C0405" w:rsidRDefault="00606504" w:rsidP="000029BA">
            <w:pPr>
              <w:tabs>
                <w:tab w:val="decimal" w:pos="774"/>
              </w:tabs>
              <w:spacing w:line="360" w:lineRule="auto"/>
              <w:rPr>
                <w:rFonts w:cs="Arial"/>
                <w:szCs w:val="22"/>
              </w:rPr>
            </w:pPr>
            <w:r>
              <w:rPr>
                <w:rFonts w:cs="Arial"/>
                <w:szCs w:val="22"/>
              </w:rPr>
              <w:t>119</w:t>
            </w:r>
          </w:p>
        </w:tc>
        <w:tc>
          <w:tcPr>
            <w:tcW w:w="1732" w:type="dxa"/>
            <w:gridSpan w:val="2"/>
            <w:vAlign w:val="center"/>
            <w:hideMark/>
          </w:tcPr>
          <w:p w14:paraId="2A2979F3" w14:textId="77777777" w:rsidR="00C33D94" w:rsidRPr="006C0405" w:rsidRDefault="00C33D94" w:rsidP="000029BA">
            <w:pPr>
              <w:tabs>
                <w:tab w:val="right" w:pos="1314"/>
              </w:tabs>
              <w:spacing w:line="360" w:lineRule="auto"/>
              <w:rPr>
                <w:rFonts w:cs="Arial"/>
                <w:szCs w:val="22"/>
              </w:rPr>
            </w:pPr>
            <w:r w:rsidRPr="002A2F20">
              <w:rPr>
                <w:rFonts w:cs="Arial"/>
                <w:szCs w:val="22"/>
              </w:rPr>
              <w:tab/>
              <w:t>100</w:t>
            </w:r>
          </w:p>
        </w:tc>
      </w:tr>
      <w:tr w:rsidR="00C33D94" w:rsidRPr="002A2F20" w14:paraId="0FACE906" w14:textId="77777777" w:rsidTr="000029BA">
        <w:trPr>
          <w:gridAfter w:val="1"/>
          <w:tblCellSpacing w:w="15" w:type="dxa"/>
        </w:trPr>
        <w:tc>
          <w:tcPr>
            <w:tcW w:w="4095" w:type="dxa"/>
            <w:gridSpan w:val="2"/>
            <w:vAlign w:val="center"/>
            <w:hideMark/>
          </w:tcPr>
          <w:p w14:paraId="49B23F91" w14:textId="77777777" w:rsidR="00C33D94" w:rsidRPr="006C0405" w:rsidRDefault="00C33D94" w:rsidP="000029BA">
            <w:pPr>
              <w:spacing w:line="360" w:lineRule="auto"/>
              <w:rPr>
                <w:rFonts w:cs="Arial"/>
                <w:szCs w:val="22"/>
              </w:rPr>
            </w:pPr>
            <w:r w:rsidRPr="006C0405">
              <w:rPr>
                <w:rFonts w:cs="Arial"/>
                <w:szCs w:val="22"/>
              </w:rPr>
              <w:t>Other expenses</w:t>
            </w:r>
          </w:p>
        </w:tc>
        <w:tc>
          <w:tcPr>
            <w:tcW w:w="1410" w:type="dxa"/>
            <w:gridSpan w:val="2"/>
            <w:vAlign w:val="center"/>
            <w:hideMark/>
          </w:tcPr>
          <w:p w14:paraId="563D6767" w14:textId="40752DFD" w:rsidR="00C33D94" w:rsidRPr="006C0405" w:rsidRDefault="00606504" w:rsidP="000029BA">
            <w:pPr>
              <w:tabs>
                <w:tab w:val="decimal" w:pos="774"/>
              </w:tabs>
              <w:spacing w:line="360" w:lineRule="auto"/>
              <w:rPr>
                <w:rFonts w:cs="Arial"/>
                <w:szCs w:val="22"/>
              </w:rPr>
            </w:pPr>
            <w:r>
              <w:rPr>
                <w:rFonts w:cs="Arial"/>
                <w:szCs w:val="22"/>
              </w:rPr>
              <w:t>95</w:t>
            </w:r>
          </w:p>
        </w:tc>
        <w:tc>
          <w:tcPr>
            <w:tcW w:w="1732" w:type="dxa"/>
            <w:gridSpan w:val="2"/>
            <w:vAlign w:val="center"/>
            <w:hideMark/>
          </w:tcPr>
          <w:p w14:paraId="0CB4D06F" w14:textId="77777777" w:rsidR="00C33D94" w:rsidRPr="006C0405" w:rsidRDefault="00C33D94" w:rsidP="000029BA">
            <w:pPr>
              <w:tabs>
                <w:tab w:val="right" w:pos="1314"/>
              </w:tabs>
              <w:spacing w:line="360" w:lineRule="auto"/>
              <w:rPr>
                <w:rFonts w:cs="Arial"/>
                <w:szCs w:val="22"/>
              </w:rPr>
            </w:pPr>
            <w:r w:rsidRPr="002A2F20">
              <w:rPr>
                <w:rFonts w:cs="Arial"/>
                <w:szCs w:val="22"/>
              </w:rPr>
              <w:tab/>
              <w:t>100</w:t>
            </w:r>
          </w:p>
        </w:tc>
      </w:tr>
      <w:tr w:rsidR="00C33D94" w:rsidRPr="002A2F20" w14:paraId="721592ED" w14:textId="77777777" w:rsidTr="000029BA">
        <w:trPr>
          <w:gridAfter w:val="1"/>
          <w:tblCellSpacing w:w="15" w:type="dxa"/>
        </w:trPr>
        <w:tc>
          <w:tcPr>
            <w:tcW w:w="4095" w:type="dxa"/>
            <w:gridSpan w:val="2"/>
            <w:vAlign w:val="center"/>
            <w:hideMark/>
          </w:tcPr>
          <w:p w14:paraId="77745595" w14:textId="77777777" w:rsidR="00C33D94" w:rsidRPr="006C0405" w:rsidRDefault="00C33D94" w:rsidP="000029BA">
            <w:pPr>
              <w:spacing w:line="360" w:lineRule="auto"/>
              <w:rPr>
                <w:rFonts w:cs="Arial"/>
                <w:szCs w:val="22"/>
              </w:rPr>
            </w:pPr>
            <w:r w:rsidRPr="006C0405">
              <w:rPr>
                <w:rFonts w:cs="Arial"/>
                <w:szCs w:val="22"/>
              </w:rPr>
              <w:t>Income tax expense</w:t>
            </w:r>
          </w:p>
        </w:tc>
        <w:tc>
          <w:tcPr>
            <w:tcW w:w="1410" w:type="dxa"/>
            <w:gridSpan w:val="2"/>
            <w:vAlign w:val="center"/>
            <w:hideMark/>
          </w:tcPr>
          <w:p w14:paraId="45041D21" w14:textId="6A7210AF" w:rsidR="00C33D94" w:rsidRPr="006C0405" w:rsidRDefault="00606504" w:rsidP="000029BA">
            <w:pPr>
              <w:tabs>
                <w:tab w:val="decimal" w:pos="774"/>
              </w:tabs>
              <w:spacing w:line="360" w:lineRule="auto"/>
              <w:rPr>
                <w:rFonts w:cs="Arial"/>
                <w:szCs w:val="22"/>
              </w:rPr>
            </w:pPr>
            <w:r>
              <w:rPr>
                <w:rFonts w:cs="Arial"/>
                <w:szCs w:val="22"/>
              </w:rPr>
              <w:t>87</w:t>
            </w:r>
          </w:p>
        </w:tc>
        <w:tc>
          <w:tcPr>
            <w:tcW w:w="1732" w:type="dxa"/>
            <w:gridSpan w:val="2"/>
            <w:vAlign w:val="center"/>
            <w:hideMark/>
          </w:tcPr>
          <w:p w14:paraId="49DE5953" w14:textId="77777777" w:rsidR="00C33D94" w:rsidRPr="006C0405" w:rsidRDefault="00C33D94" w:rsidP="000029BA">
            <w:pPr>
              <w:tabs>
                <w:tab w:val="right" w:pos="1314"/>
              </w:tabs>
              <w:spacing w:line="360" w:lineRule="auto"/>
              <w:rPr>
                <w:rFonts w:cs="Arial"/>
                <w:szCs w:val="22"/>
              </w:rPr>
            </w:pPr>
            <w:r w:rsidRPr="006C0405">
              <w:rPr>
                <w:rFonts w:cs="Arial"/>
                <w:szCs w:val="22"/>
              </w:rPr>
              <w:t> </w:t>
            </w:r>
            <w:r w:rsidRPr="002A2F20">
              <w:rPr>
                <w:rFonts w:cs="Arial"/>
                <w:szCs w:val="22"/>
              </w:rPr>
              <w:tab/>
              <w:t>100</w:t>
            </w:r>
          </w:p>
        </w:tc>
      </w:tr>
      <w:tr w:rsidR="00C33D94" w:rsidRPr="002A2F20" w14:paraId="68D2458C" w14:textId="77777777" w:rsidTr="000029BA">
        <w:trPr>
          <w:gridAfter w:val="1"/>
          <w:tblCellSpacing w:w="15" w:type="dxa"/>
        </w:trPr>
        <w:tc>
          <w:tcPr>
            <w:tcW w:w="4095" w:type="dxa"/>
            <w:gridSpan w:val="2"/>
            <w:vAlign w:val="center"/>
            <w:hideMark/>
          </w:tcPr>
          <w:p w14:paraId="40B27CC4" w14:textId="77777777" w:rsidR="00C33D94" w:rsidRPr="006C0405" w:rsidRDefault="00C33D94" w:rsidP="000029BA">
            <w:pPr>
              <w:spacing w:line="360" w:lineRule="auto"/>
              <w:rPr>
                <w:rFonts w:cs="Arial"/>
                <w:szCs w:val="22"/>
              </w:rPr>
            </w:pPr>
            <w:r w:rsidRPr="006C0405">
              <w:rPr>
                <w:rFonts w:cs="Arial"/>
                <w:szCs w:val="22"/>
              </w:rPr>
              <w:t>Net income</w:t>
            </w:r>
          </w:p>
        </w:tc>
        <w:tc>
          <w:tcPr>
            <w:tcW w:w="1410" w:type="dxa"/>
            <w:gridSpan w:val="2"/>
            <w:vAlign w:val="center"/>
            <w:hideMark/>
          </w:tcPr>
          <w:p w14:paraId="1A694FFC" w14:textId="34F706A1" w:rsidR="00C33D94" w:rsidRPr="006C0405" w:rsidRDefault="00606504" w:rsidP="000029BA">
            <w:pPr>
              <w:tabs>
                <w:tab w:val="decimal" w:pos="774"/>
              </w:tabs>
              <w:spacing w:line="360" w:lineRule="auto"/>
              <w:rPr>
                <w:rFonts w:cs="Arial"/>
                <w:szCs w:val="22"/>
              </w:rPr>
            </w:pPr>
            <w:r>
              <w:rPr>
                <w:rFonts w:cs="Arial"/>
                <w:szCs w:val="22"/>
              </w:rPr>
              <w:t>88</w:t>
            </w:r>
            <w:r w:rsidR="00C33D94" w:rsidRPr="006C0405">
              <w:rPr>
                <w:rFonts w:cs="Arial"/>
                <w:szCs w:val="22"/>
              </w:rPr>
              <w:t> </w:t>
            </w:r>
          </w:p>
        </w:tc>
        <w:tc>
          <w:tcPr>
            <w:tcW w:w="1732" w:type="dxa"/>
            <w:gridSpan w:val="2"/>
            <w:vAlign w:val="center"/>
            <w:hideMark/>
          </w:tcPr>
          <w:p w14:paraId="552E35C9" w14:textId="77777777" w:rsidR="00C33D94" w:rsidRPr="006C0405" w:rsidRDefault="00C33D94" w:rsidP="000029BA">
            <w:pPr>
              <w:tabs>
                <w:tab w:val="right" w:pos="1314"/>
              </w:tabs>
              <w:spacing w:line="360" w:lineRule="auto"/>
              <w:rPr>
                <w:rFonts w:cs="Arial"/>
                <w:szCs w:val="22"/>
              </w:rPr>
            </w:pPr>
            <w:r w:rsidRPr="002A2F20">
              <w:rPr>
                <w:rFonts w:cs="Arial"/>
                <w:szCs w:val="22"/>
              </w:rPr>
              <w:tab/>
              <w:t>100</w:t>
            </w:r>
          </w:p>
        </w:tc>
      </w:tr>
    </w:tbl>
    <w:p w14:paraId="65C2EA6B" w14:textId="77777777" w:rsidR="00C33D94" w:rsidRPr="002A2F20" w:rsidRDefault="00C33D94" w:rsidP="00C33D94">
      <w:pPr>
        <w:spacing w:line="360" w:lineRule="auto"/>
        <w:outlineLvl w:val="3"/>
        <w:rPr>
          <w:rFonts w:cs="Arial"/>
          <w:szCs w:val="22"/>
        </w:rPr>
      </w:pPr>
      <w:r w:rsidRPr="002A2F20">
        <w:rPr>
          <w:rFonts w:cs="Arial"/>
          <w:szCs w:val="22"/>
        </w:rPr>
        <w:t>(b)</w:t>
      </w:r>
    </w:p>
    <w:p w14:paraId="01A7ED8E" w14:textId="06E02632" w:rsidR="00C33D94" w:rsidRPr="002A2F20" w:rsidRDefault="00C33D94" w:rsidP="00C33D94">
      <w:pPr>
        <w:spacing w:line="360" w:lineRule="auto"/>
        <w:outlineLvl w:val="3"/>
        <w:rPr>
          <w:rFonts w:cs="Arial"/>
          <w:szCs w:val="22"/>
        </w:rPr>
      </w:pPr>
      <w:r w:rsidRPr="002A2F20">
        <w:rPr>
          <w:rFonts w:cs="Arial"/>
          <w:szCs w:val="22"/>
        </w:rPr>
        <w:lastRenderedPageBreak/>
        <w:t xml:space="preserve">Since sales increased by </w:t>
      </w:r>
      <w:r w:rsidR="00606504">
        <w:rPr>
          <w:rFonts w:cs="Arial"/>
          <w:szCs w:val="22"/>
        </w:rPr>
        <w:t>3</w:t>
      </w:r>
      <w:r w:rsidRPr="002A2F20">
        <w:rPr>
          <w:rFonts w:cs="Arial"/>
          <w:szCs w:val="22"/>
        </w:rPr>
        <w:t xml:space="preserve">%, the items directly related to sales would be expected to increase by </w:t>
      </w:r>
      <w:r w:rsidR="006F7BC8">
        <w:rPr>
          <w:rFonts w:cs="Arial"/>
          <w:szCs w:val="22"/>
        </w:rPr>
        <w:t>3</w:t>
      </w:r>
      <w:r w:rsidRPr="002A2F20">
        <w:rPr>
          <w:rFonts w:cs="Arial"/>
          <w:szCs w:val="22"/>
        </w:rPr>
        <w:t xml:space="preserve">%. However, the horizontal analysis indicates that cost of sales increased by </w:t>
      </w:r>
      <w:r w:rsidR="006F7BC8">
        <w:rPr>
          <w:rFonts w:cs="Arial"/>
          <w:szCs w:val="22"/>
        </w:rPr>
        <w:t>6</w:t>
      </w:r>
      <w:r w:rsidRPr="002A2F20">
        <w:rPr>
          <w:rFonts w:cs="Arial"/>
          <w:szCs w:val="22"/>
        </w:rPr>
        <w:t xml:space="preserve">%, accounts payable decreased by 3% and other accrued liabilities increased by 20%. Since equipment increased by 20%, </w:t>
      </w:r>
      <w:r w:rsidR="006F7BC8">
        <w:rPr>
          <w:rFonts w:cs="Arial"/>
          <w:szCs w:val="22"/>
        </w:rPr>
        <w:t xml:space="preserve">an increase of 19% for </w:t>
      </w:r>
      <w:r w:rsidRPr="002A2F20">
        <w:rPr>
          <w:rFonts w:cs="Arial"/>
          <w:szCs w:val="22"/>
        </w:rPr>
        <w:t xml:space="preserve">depreciation expense </w:t>
      </w:r>
      <w:r w:rsidR="006F7BC8">
        <w:rPr>
          <w:rFonts w:cs="Arial"/>
          <w:szCs w:val="22"/>
        </w:rPr>
        <w:t>appears reasonable</w:t>
      </w:r>
      <w:r w:rsidRPr="002A2F20">
        <w:rPr>
          <w:rFonts w:cs="Arial"/>
          <w:szCs w:val="22"/>
        </w:rPr>
        <w:t xml:space="preserve">. </w:t>
      </w:r>
      <w:r w:rsidR="006F7BC8">
        <w:rPr>
          <w:rFonts w:cs="Arial"/>
          <w:szCs w:val="22"/>
        </w:rPr>
        <w:t xml:space="preserve">The change in </w:t>
      </w:r>
      <w:r w:rsidRPr="002A2F20">
        <w:rPr>
          <w:rFonts w:cs="Arial"/>
          <w:szCs w:val="22"/>
        </w:rPr>
        <w:t xml:space="preserve">income </w:t>
      </w:r>
      <w:r w:rsidR="006F7BC8">
        <w:rPr>
          <w:rFonts w:cs="Arial"/>
          <w:szCs w:val="22"/>
        </w:rPr>
        <w:t xml:space="preserve">tax expense is consistent with the change in net </w:t>
      </w:r>
      <w:proofErr w:type="gramStart"/>
      <w:r w:rsidR="006F7BC8">
        <w:rPr>
          <w:rFonts w:cs="Arial"/>
          <w:szCs w:val="22"/>
        </w:rPr>
        <w:t>income.</w:t>
      </w:r>
      <w:r w:rsidRPr="002A2F20">
        <w:rPr>
          <w:rFonts w:cs="Arial"/>
          <w:szCs w:val="22"/>
        </w:rPr>
        <w:t>.</w:t>
      </w:r>
      <w:proofErr w:type="gramEnd"/>
    </w:p>
    <w:p w14:paraId="22511C88" w14:textId="77777777" w:rsidR="00C33D94" w:rsidRPr="002A2F20" w:rsidRDefault="00C33D94" w:rsidP="00C33D94">
      <w:pPr>
        <w:spacing w:line="360" w:lineRule="auto"/>
        <w:outlineLvl w:val="3"/>
        <w:rPr>
          <w:rFonts w:cs="Arial"/>
          <w:szCs w:val="22"/>
        </w:rPr>
      </w:pPr>
      <w:r w:rsidRPr="002A2F20">
        <w:rPr>
          <w:rFonts w:cs="Arial"/>
          <w:szCs w:val="22"/>
        </w:rPr>
        <w:t>(c)</w:t>
      </w:r>
      <w:r w:rsidRPr="002A2F20">
        <w:rPr>
          <w:rFonts w:cs="Arial"/>
          <w:szCs w:val="22"/>
        </w:rPr>
        <w:tab/>
      </w:r>
      <w:r w:rsidRPr="002A2F20">
        <w:rPr>
          <w:rFonts w:cs="Arial"/>
          <w:szCs w:val="22"/>
        </w:rPr>
        <w:tab/>
      </w:r>
      <w:r w:rsidRPr="002A2F20">
        <w:rPr>
          <w:rFonts w:cs="Arial"/>
          <w:szCs w:val="22"/>
        </w:rPr>
        <w:tab/>
      </w:r>
      <w:r w:rsidRPr="002A2F20">
        <w:rPr>
          <w:rFonts w:cs="Arial"/>
          <w:szCs w:val="22"/>
        </w:rPr>
        <w:tab/>
      </w:r>
      <w:r w:rsidRPr="002A2F20">
        <w:rPr>
          <w:rFonts w:cs="Arial"/>
          <w:szCs w:val="22"/>
        </w:rPr>
        <w:tab/>
      </w:r>
      <w:r w:rsidRPr="002A2F20">
        <w:rPr>
          <w:rFonts w:cs="Arial"/>
          <w:szCs w:val="22"/>
        </w:rPr>
        <w:tab/>
      </w:r>
      <w:r w:rsidRPr="002A2F20">
        <w:rPr>
          <w:rFonts w:cs="Arial"/>
          <w:szCs w:val="22"/>
        </w:rPr>
        <w:tab/>
        <w:t>Year 7</w:t>
      </w:r>
      <w:r w:rsidRPr="002A2F20">
        <w:rPr>
          <w:rFonts w:cs="Arial"/>
          <w:szCs w:val="22"/>
        </w:rPr>
        <w:tab/>
      </w:r>
      <w:r w:rsidRPr="002A2F20">
        <w:rPr>
          <w:rFonts w:cs="Arial"/>
          <w:szCs w:val="22"/>
        </w:rPr>
        <w:tab/>
      </w:r>
      <w:r w:rsidRPr="002A2F20">
        <w:rPr>
          <w:rFonts w:cs="Arial"/>
          <w:szCs w:val="22"/>
        </w:rPr>
        <w:tab/>
        <w:t>Year 6</w:t>
      </w:r>
    </w:p>
    <w:p w14:paraId="1CC04CE0" w14:textId="77777777" w:rsidR="00C33D94" w:rsidRPr="002A2F20" w:rsidRDefault="00C33D94" w:rsidP="00C33D9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Current ratio</w:t>
      </w:r>
      <w:r w:rsidRPr="002A2F20">
        <w:rPr>
          <w:rFonts w:cs="Arial"/>
          <w:szCs w:val="22"/>
        </w:rPr>
        <w:tab/>
      </w:r>
      <w:r w:rsidRPr="002A2F20">
        <w:rPr>
          <w:rFonts w:cs="Arial"/>
          <w:szCs w:val="22"/>
          <w:u w:val="single"/>
        </w:rPr>
        <w:t>Current assets</w:t>
      </w:r>
      <w:r w:rsidRPr="002A2F20">
        <w:rPr>
          <w:rFonts w:cs="Arial"/>
          <w:szCs w:val="22"/>
        </w:rPr>
        <w:tab/>
      </w:r>
      <w:r w:rsidRPr="002A2F20">
        <w:rPr>
          <w:rFonts w:cs="Arial"/>
          <w:szCs w:val="22"/>
          <w:u w:val="single"/>
        </w:rPr>
        <w:t>500</w:t>
      </w:r>
      <w:r w:rsidRPr="002A2F20">
        <w:rPr>
          <w:rFonts w:cs="Arial"/>
          <w:szCs w:val="22"/>
        </w:rPr>
        <w:tab/>
        <w:t>2.00</w:t>
      </w:r>
      <w:r w:rsidRPr="002A2F20">
        <w:rPr>
          <w:rFonts w:cs="Arial"/>
          <w:szCs w:val="22"/>
        </w:rPr>
        <w:tab/>
      </w:r>
      <w:r w:rsidRPr="002A2F20">
        <w:rPr>
          <w:rFonts w:cs="Arial"/>
          <w:szCs w:val="22"/>
          <w:u w:val="single"/>
        </w:rPr>
        <w:t>500</w:t>
      </w:r>
      <w:r w:rsidRPr="002A2F20">
        <w:rPr>
          <w:rFonts w:cs="Arial"/>
          <w:szCs w:val="22"/>
        </w:rPr>
        <w:tab/>
        <w:t>2.04</w:t>
      </w:r>
    </w:p>
    <w:p w14:paraId="1851E696" w14:textId="77777777" w:rsidR="00C33D94" w:rsidRPr="002A2F20" w:rsidRDefault="00C33D94" w:rsidP="00C33D9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ab/>
        <w:t>Current liabilities</w:t>
      </w:r>
      <w:r w:rsidRPr="002A2F20">
        <w:rPr>
          <w:rFonts w:cs="Arial"/>
          <w:szCs w:val="22"/>
        </w:rPr>
        <w:tab/>
        <w:t>250</w:t>
      </w:r>
      <w:r w:rsidRPr="002A2F20">
        <w:rPr>
          <w:rFonts w:cs="Arial"/>
          <w:szCs w:val="22"/>
        </w:rPr>
        <w:tab/>
      </w:r>
      <w:r w:rsidRPr="002A2F20">
        <w:rPr>
          <w:rFonts w:cs="Arial"/>
          <w:szCs w:val="22"/>
        </w:rPr>
        <w:tab/>
        <w:t>245</w:t>
      </w:r>
    </w:p>
    <w:p w14:paraId="1907C2FA" w14:textId="77777777" w:rsidR="00C33D94" w:rsidRPr="002A2F20" w:rsidRDefault="00C33D94" w:rsidP="00C33D94">
      <w:pPr>
        <w:tabs>
          <w:tab w:val="left" w:pos="2160"/>
          <w:tab w:val="right" w:pos="5040"/>
          <w:tab w:val="right" w:pos="5850"/>
          <w:tab w:val="right" w:pos="7200"/>
          <w:tab w:val="right" w:pos="8100"/>
        </w:tabs>
        <w:spacing w:line="360" w:lineRule="auto"/>
        <w:outlineLvl w:val="3"/>
        <w:rPr>
          <w:rFonts w:cs="Arial"/>
          <w:szCs w:val="22"/>
        </w:rPr>
      </w:pPr>
    </w:p>
    <w:p w14:paraId="59CFAEAC" w14:textId="77777777" w:rsidR="00C33D94" w:rsidRPr="002A2F20" w:rsidRDefault="00C33D94" w:rsidP="00C33D9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Debt-to-equity</w:t>
      </w:r>
      <w:r w:rsidRPr="002A2F20">
        <w:rPr>
          <w:rFonts w:cs="Arial"/>
          <w:szCs w:val="22"/>
        </w:rPr>
        <w:tab/>
      </w:r>
      <w:r w:rsidRPr="002A2F20">
        <w:rPr>
          <w:rFonts w:cs="Arial"/>
          <w:szCs w:val="22"/>
          <w:u w:val="single"/>
        </w:rPr>
        <w:t>Debt</w:t>
      </w:r>
      <w:r w:rsidRPr="002A2F20">
        <w:rPr>
          <w:rFonts w:cs="Arial"/>
          <w:szCs w:val="22"/>
        </w:rPr>
        <w:tab/>
      </w:r>
      <w:r w:rsidRPr="002A2F20">
        <w:rPr>
          <w:rFonts w:cs="Arial"/>
          <w:szCs w:val="22"/>
          <w:u w:val="single"/>
        </w:rPr>
        <w:t>430</w:t>
      </w:r>
      <w:r w:rsidRPr="002A2F20">
        <w:rPr>
          <w:rFonts w:cs="Arial"/>
          <w:szCs w:val="22"/>
        </w:rPr>
        <w:tab/>
        <w:t>1.16</w:t>
      </w:r>
      <w:r w:rsidRPr="002A2F20">
        <w:rPr>
          <w:rFonts w:cs="Arial"/>
          <w:szCs w:val="22"/>
        </w:rPr>
        <w:tab/>
      </w:r>
      <w:r w:rsidRPr="002A2F20">
        <w:rPr>
          <w:rFonts w:cs="Arial"/>
          <w:szCs w:val="22"/>
          <w:u w:val="single"/>
        </w:rPr>
        <w:t>425</w:t>
      </w:r>
      <w:r w:rsidRPr="002A2F20">
        <w:rPr>
          <w:rFonts w:cs="Arial"/>
          <w:szCs w:val="22"/>
        </w:rPr>
        <w:tab/>
        <w:t>1.31</w:t>
      </w:r>
    </w:p>
    <w:p w14:paraId="0F6CE75F" w14:textId="77777777" w:rsidR="00C33D94" w:rsidRPr="002A2F20" w:rsidRDefault="00C33D94" w:rsidP="00C33D9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ab/>
        <w:t>Equity</w:t>
      </w:r>
      <w:r w:rsidRPr="002A2F20">
        <w:rPr>
          <w:rFonts w:cs="Arial"/>
          <w:szCs w:val="22"/>
        </w:rPr>
        <w:tab/>
        <w:t>370</w:t>
      </w:r>
      <w:r w:rsidRPr="002A2F20">
        <w:rPr>
          <w:rFonts w:cs="Arial"/>
          <w:szCs w:val="22"/>
        </w:rPr>
        <w:tab/>
      </w:r>
      <w:r w:rsidRPr="002A2F20">
        <w:rPr>
          <w:rFonts w:cs="Arial"/>
          <w:szCs w:val="22"/>
        </w:rPr>
        <w:tab/>
        <w:t>325</w:t>
      </w:r>
    </w:p>
    <w:p w14:paraId="5FF4F270" w14:textId="77777777" w:rsidR="00C33D94" w:rsidRPr="002A2F20" w:rsidRDefault="00C33D94" w:rsidP="00C33D94">
      <w:pPr>
        <w:tabs>
          <w:tab w:val="left" w:pos="2160"/>
          <w:tab w:val="right" w:pos="5040"/>
          <w:tab w:val="right" w:pos="5850"/>
          <w:tab w:val="right" w:pos="7200"/>
          <w:tab w:val="right" w:pos="8100"/>
        </w:tabs>
        <w:spacing w:line="360" w:lineRule="auto"/>
        <w:outlineLvl w:val="3"/>
        <w:rPr>
          <w:rFonts w:cs="Arial"/>
          <w:szCs w:val="22"/>
        </w:rPr>
      </w:pPr>
    </w:p>
    <w:p w14:paraId="5305A51A" w14:textId="736AA635" w:rsidR="00C33D94" w:rsidRPr="002A2F20" w:rsidRDefault="00C33D94" w:rsidP="00C33D9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Return on assets</w:t>
      </w:r>
      <w:r w:rsidRPr="002A2F20">
        <w:rPr>
          <w:rFonts w:cs="Arial"/>
          <w:szCs w:val="22"/>
        </w:rPr>
        <w:tab/>
      </w:r>
      <w:r w:rsidRPr="002A2F20">
        <w:rPr>
          <w:rFonts w:cs="Arial"/>
          <w:szCs w:val="22"/>
          <w:u w:val="single"/>
        </w:rPr>
        <w:t>EBIT</w:t>
      </w:r>
      <w:r w:rsidRPr="002A2F20">
        <w:rPr>
          <w:rFonts w:cs="Arial"/>
          <w:szCs w:val="22"/>
        </w:rPr>
        <w:tab/>
      </w:r>
      <w:r w:rsidR="009C17AB" w:rsidRPr="008620BB">
        <w:rPr>
          <w:rFonts w:cs="Arial"/>
          <w:szCs w:val="22"/>
          <w:u w:val="single"/>
        </w:rPr>
        <w:t>126</w:t>
      </w:r>
      <w:r w:rsidRPr="002A2F20">
        <w:rPr>
          <w:rFonts w:cs="Arial"/>
          <w:szCs w:val="22"/>
        </w:rPr>
        <w:tab/>
        <w:t>.</w:t>
      </w:r>
      <w:r w:rsidR="009C17AB">
        <w:rPr>
          <w:rFonts w:cs="Arial"/>
          <w:szCs w:val="22"/>
        </w:rPr>
        <w:t>16</w:t>
      </w:r>
      <w:r w:rsidRPr="002A2F20">
        <w:rPr>
          <w:rFonts w:cs="Arial"/>
          <w:szCs w:val="22"/>
        </w:rPr>
        <w:tab/>
      </w:r>
      <w:r w:rsidR="009C17AB" w:rsidRPr="008620BB">
        <w:rPr>
          <w:rFonts w:cs="Arial"/>
          <w:szCs w:val="22"/>
          <w:u w:val="single"/>
        </w:rPr>
        <w:t>143</w:t>
      </w:r>
      <w:r w:rsidRPr="002A2F20">
        <w:rPr>
          <w:rFonts w:cs="Arial"/>
          <w:szCs w:val="22"/>
        </w:rPr>
        <w:tab/>
        <w:t>.</w:t>
      </w:r>
      <w:r w:rsidR="00194E85">
        <w:rPr>
          <w:rFonts w:cs="Arial"/>
          <w:szCs w:val="22"/>
        </w:rPr>
        <w:t>19</w:t>
      </w:r>
    </w:p>
    <w:p w14:paraId="1A9BBE4C" w14:textId="77777777" w:rsidR="00C33D94" w:rsidRPr="002A2F20" w:rsidRDefault="00C33D94" w:rsidP="00C33D9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ab/>
        <w:t>Assets</w:t>
      </w:r>
      <w:r w:rsidRPr="002A2F20">
        <w:rPr>
          <w:rFonts w:cs="Arial"/>
          <w:szCs w:val="22"/>
        </w:rPr>
        <w:tab/>
        <w:t>800</w:t>
      </w:r>
      <w:r w:rsidRPr="002A2F20">
        <w:rPr>
          <w:rFonts w:cs="Arial"/>
          <w:szCs w:val="22"/>
        </w:rPr>
        <w:tab/>
      </w:r>
      <w:r w:rsidRPr="002A2F20">
        <w:rPr>
          <w:rFonts w:cs="Arial"/>
          <w:szCs w:val="22"/>
        </w:rPr>
        <w:tab/>
        <w:t>750</w:t>
      </w:r>
    </w:p>
    <w:p w14:paraId="63E03A01" w14:textId="77777777" w:rsidR="00C33D94" w:rsidRPr="002A2F20" w:rsidRDefault="00C33D94" w:rsidP="00C33D94">
      <w:pPr>
        <w:tabs>
          <w:tab w:val="left" w:pos="2160"/>
          <w:tab w:val="right" w:pos="5040"/>
          <w:tab w:val="right" w:pos="5850"/>
          <w:tab w:val="right" w:pos="7200"/>
          <w:tab w:val="right" w:pos="8100"/>
        </w:tabs>
        <w:spacing w:line="360" w:lineRule="auto"/>
        <w:outlineLvl w:val="3"/>
        <w:rPr>
          <w:rFonts w:cs="Arial"/>
          <w:szCs w:val="22"/>
        </w:rPr>
      </w:pPr>
    </w:p>
    <w:p w14:paraId="2C1E34BF" w14:textId="7A1FAC1F" w:rsidR="00C33D94" w:rsidRPr="002A2F20" w:rsidRDefault="00C33D94" w:rsidP="00C33D9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Return on equity</w:t>
      </w:r>
      <w:r w:rsidRPr="002A2F20">
        <w:rPr>
          <w:rFonts w:cs="Arial"/>
          <w:szCs w:val="22"/>
        </w:rPr>
        <w:tab/>
      </w:r>
      <w:r w:rsidRPr="002A2F20">
        <w:rPr>
          <w:rFonts w:cs="Arial"/>
          <w:szCs w:val="22"/>
          <w:u w:val="single"/>
        </w:rPr>
        <w:t>Net income</w:t>
      </w:r>
      <w:r w:rsidRPr="002A2F20">
        <w:rPr>
          <w:rFonts w:cs="Arial"/>
          <w:szCs w:val="22"/>
        </w:rPr>
        <w:tab/>
      </w:r>
      <w:r w:rsidR="00194E85" w:rsidRPr="008620BB">
        <w:rPr>
          <w:rFonts w:cs="Arial"/>
          <w:szCs w:val="22"/>
          <w:u w:val="single"/>
        </w:rPr>
        <w:t>70</w:t>
      </w:r>
      <w:r w:rsidRPr="002A2F20">
        <w:rPr>
          <w:rFonts w:cs="Arial"/>
          <w:szCs w:val="22"/>
        </w:rPr>
        <w:tab/>
        <w:t>.</w:t>
      </w:r>
      <w:r w:rsidR="00194E85">
        <w:rPr>
          <w:rFonts w:cs="Arial"/>
          <w:szCs w:val="22"/>
        </w:rPr>
        <w:t>19</w:t>
      </w:r>
      <w:r w:rsidRPr="002A2F20">
        <w:rPr>
          <w:rFonts w:cs="Arial"/>
          <w:szCs w:val="22"/>
        </w:rPr>
        <w:tab/>
      </w:r>
      <w:r w:rsidR="00194E85">
        <w:rPr>
          <w:rFonts w:cs="Arial"/>
          <w:szCs w:val="22"/>
          <w:u w:val="single"/>
        </w:rPr>
        <w:t>8</w:t>
      </w:r>
      <w:r w:rsidRPr="002A2F20">
        <w:rPr>
          <w:rFonts w:cs="Arial"/>
          <w:szCs w:val="22"/>
          <w:u w:val="single"/>
        </w:rPr>
        <w:t>0</w:t>
      </w:r>
      <w:r w:rsidRPr="002A2F20">
        <w:rPr>
          <w:rFonts w:cs="Arial"/>
          <w:szCs w:val="22"/>
        </w:rPr>
        <w:tab/>
        <w:t>.</w:t>
      </w:r>
      <w:r w:rsidR="00194E85">
        <w:rPr>
          <w:rFonts w:cs="Arial"/>
          <w:szCs w:val="22"/>
        </w:rPr>
        <w:t>25</w:t>
      </w:r>
      <w:r w:rsidRPr="002A2F20">
        <w:rPr>
          <w:rFonts w:cs="Arial"/>
          <w:szCs w:val="22"/>
        </w:rPr>
        <w:tab/>
      </w:r>
    </w:p>
    <w:p w14:paraId="1DDA4AF2" w14:textId="244AAD29" w:rsidR="00C33D94" w:rsidRPr="002A2F20" w:rsidRDefault="00C33D94" w:rsidP="00C33D9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ab/>
        <w:t>Shareholders’ equity</w:t>
      </w:r>
      <w:r w:rsidRPr="002A2F20">
        <w:rPr>
          <w:rFonts w:cs="Arial"/>
          <w:szCs w:val="22"/>
        </w:rPr>
        <w:tab/>
      </w:r>
      <w:r w:rsidR="00165510">
        <w:rPr>
          <w:rFonts w:cs="Arial"/>
          <w:szCs w:val="22"/>
        </w:rPr>
        <w:t>370</w:t>
      </w:r>
      <w:r w:rsidRPr="002A2F20">
        <w:rPr>
          <w:rFonts w:cs="Arial"/>
          <w:szCs w:val="22"/>
        </w:rPr>
        <w:tab/>
      </w:r>
      <w:r w:rsidRPr="002A2F20">
        <w:rPr>
          <w:rFonts w:cs="Arial"/>
          <w:szCs w:val="22"/>
        </w:rPr>
        <w:tab/>
      </w:r>
      <w:r w:rsidR="00165510">
        <w:rPr>
          <w:rFonts w:cs="Arial"/>
          <w:szCs w:val="22"/>
        </w:rPr>
        <w:t>325</w:t>
      </w:r>
    </w:p>
    <w:p w14:paraId="5A79EB4C" w14:textId="77777777" w:rsidR="00C33D94" w:rsidRPr="002A2F20" w:rsidRDefault="00C33D94" w:rsidP="00C33D9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(d)</w:t>
      </w:r>
    </w:p>
    <w:p w14:paraId="1244A418" w14:textId="7B0E4E37" w:rsidR="00C33D94" w:rsidRPr="002A2F20" w:rsidRDefault="00C33D94" w:rsidP="00C33D94">
      <w:pPr>
        <w:tabs>
          <w:tab w:val="left" w:pos="2160"/>
          <w:tab w:val="right" w:pos="5040"/>
          <w:tab w:val="right" w:pos="5850"/>
          <w:tab w:val="right" w:pos="7200"/>
          <w:tab w:val="right" w:pos="8100"/>
        </w:tabs>
        <w:spacing w:line="360" w:lineRule="auto"/>
        <w:outlineLvl w:val="3"/>
        <w:rPr>
          <w:rFonts w:cs="Arial"/>
          <w:szCs w:val="22"/>
        </w:rPr>
      </w:pPr>
      <w:r w:rsidRPr="002A2F20">
        <w:rPr>
          <w:rFonts w:cs="Arial"/>
          <w:szCs w:val="22"/>
        </w:rPr>
        <w:t>Since the current ratio decreased, liquidity deteriorated. Since the debt-to-equity ratio wen</w:t>
      </w:r>
      <w:r w:rsidR="005B63B3">
        <w:rPr>
          <w:rFonts w:cs="Arial"/>
          <w:szCs w:val="22"/>
        </w:rPr>
        <w:t>t</w:t>
      </w:r>
      <w:r w:rsidRPr="002A2F20">
        <w:rPr>
          <w:rFonts w:cs="Arial"/>
          <w:szCs w:val="22"/>
        </w:rPr>
        <w:t xml:space="preserve"> down, the solvency improved. Since both the return on assets and return on equity went down, the profitability deteriorated.</w:t>
      </w:r>
    </w:p>
    <w:p w14:paraId="5E441CF2" w14:textId="77777777" w:rsidR="00931CCC" w:rsidRPr="006F3822" w:rsidRDefault="00931CCC">
      <w:pPr>
        <w:pStyle w:val="BodyTextIndent3"/>
        <w:tabs>
          <w:tab w:val="left" w:pos="540"/>
          <w:tab w:val="left" w:pos="630"/>
          <w:tab w:val="left" w:pos="720"/>
          <w:tab w:val="left" w:pos="1800"/>
        </w:tabs>
        <w:ind w:left="930"/>
        <w:rPr>
          <w:rFonts w:cs="Arial"/>
          <w:b/>
          <w:bCs/>
          <w:szCs w:val="22"/>
        </w:rPr>
      </w:pPr>
    </w:p>
    <w:p w14:paraId="5E441CF3" w14:textId="77777777" w:rsidR="007C1783" w:rsidRDefault="007C1783" w:rsidP="007C1783">
      <w:pPr>
        <w:pStyle w:val="BodyTextIndent3"/>
        <w:tabs>
          <w:tab w:val="left" w:pos="540"/>
          <w:tab w:val="left" w:pos="630"/>
          <w:tab w:val="left" w:pos="720"/>
          <w:tab w:val="left" w:pos="1800"/>
        </w:tabs>
        <w:ind w:left="930"/>
        <w:rPr>
          <w:rFonts w:cs="Arial"/>
          <w:b/>
          <w:bCs/>
          <w:sz w:val="28"/>
          <w:highlight w:val="yellow"/>
        </w:rPr>
      </w:pPr>
      <w:r>
        <w:rPr>
          <w:rFonts w:cs="Arial"/>
          <w:b/>
          <w:bCs/>
          <w:sz w:val="28"/>
        </w:rPr>
        <w:t>Problem 1-5</w:t>
      </w:r>
    </w:p>
    <w:p w14:paraId="5E441CF4" w14:textId="77777777" w:rsidR="00931CCC" w:rsidRPr="006F3822" w:rsidRDefault="00931CCC">
      <w:pPr>
        <w:pStyle w:val="BodyTextIndent3"/>
        <w:tabs>
          <w:tab w:val="left" w:pos="540"/>
          <w:tab w:val="left" w:pos="630"/>
          <w:tab w:val="left" w:pos="720"/>
          <w:tab w:val="left" w:pos="1800"/>
        </w:tabs>
        <w:ind w:left="930"/>
        <w:rPr>
          <w:rFonts w:cs="Arial"/>
          <w:b/>
          <w:bCs/>
          <w:szCs w:val="22"/>
        </w:rPr>
      </w:pPr>
    </w:p>
    <w:p w14:paraId="5E441CF5" w14:textId="77777777" w:rsidR="007C1783" w:rsidRPr="006F3822" w:rsidRDefault="007C1783" w:rsidP="006F3822">
      <w:pPr>
        <w:pStyle w:val="bcepqlafirst"/>
        <w:widowControl/>
        <w:numPr>
          <w:ilvl w:val="0"/>
          <w:numId w:val="50"/>
        </w:numPr>
        <w:tabs>
          <w:tab w:val="clear" w:pos="220"/>
          <w:tab w:val="clear" w:pos="360"/>
        </w:tabs>
        <w:spacing w:before="0" w:after="120" w:line="240" w:lineRule="auto"/>
        <w:ind w:hanging="720"/>
        <w:rPr>
          <w:rFonts w:ascii="Arial" w:hAnsi="Arial" w:cs="Arial"/>
          <w:color w:val="auto"/>
          <w:sz w:val="22"/>
          <w:szCs w:val="22"/>
        </w:rPr>
      </w:pPr>
      <w:r w:rsidRPr="006F3822">
        <w:rPr>
          <w:rFonts w:ascii="Arial" w:hAnsi="Arial" w:cs="Arial"/>
          <w:color w:val="auto"/>
          <w:sz w:val="22"/>
          <w:szCs w:val="22"/>
        </w:rPr>
        <w:t xml:space="preserve">Becker Ltd. Reconciliation from ASPE to </w:t>
      </w:r>
      <w:r w:rsidR="007F2533">
        <w:rPr>
          <w:rFonts w:ascii="Arial" w:hAnsi="Arial" w:cs="Arial"/>
          <w:color w:val="auto"/>
          <w:sz w:val="22"/>
          <w:szCs w:val="22"/>
        </w:rPr>
        <w:t>IFRS</w:t>
      </w:r>
      <w:r w:rsidRPr="006F3822">
        <w:rPr>
          <w:rFonts w:ascii="Arial" w:hAnsi="Arial" w:cs="Arial"/>
          <w:color w:val="auto"/>
          <w:sz w:val="22"/>
          <w:szCs w:val="22"/>
        </w:rPr>
        <w:t xml:space="preserve"> (in 000s):</w:t>
      </w:r>
    </w:p>
    <w:tbl>
      <w:tblPr>
        <w:tblW w:w="9072" w:type="dxa"/>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574"/>
        <w:gridCol w:w="1233"/>
        <w:gridCol w:w="1385"/>
        <w:gridCol w:w="1436"/>
        <w:gridCol w:w="1159"/>
        <w:gridCol w:w="1285"/>
      </w:tblGrid>
      <w:tr w:rsidR="007C1783" w:rsidRPr="007C1783" w14:paraId="5E441CFC" w14:textId="77777777" w:rsidTr="007C1783">
        <w:trPr>
          <w:trHeight w:val="23"/>
        </w:trPr>
        <w:tc>
          <w:tcPr>
            <w:tcW w:w="2574" w:type="dxa"/>
            <w:shd w:val="clear" w:color="auto" w:fill="auto"/>
            <w:vAlign w:val="bottom"/>
          </w:tcPr>
          <w:p w14:paraId="5E441CF6" w14:textId="77777777" w:rsidR="007C1783" w:rsidRPr="006F3822" w:rsidRDefault="007C1783" w:rsidP="007C1783">
            <w:pPr>
              <w:pStyle w:val="bcepqtbsha"/>
              <w:widowControl/>
              <w:spacing w:after="120" w:line="240" w:lineRule="auto"/>
              <w:jc w:val="both"/>
              <w:rPr>
                <w:rFonts w:ascii="Arial" w:hAnsi="Arial" w:cs="Arial"/>
                <w:color w:val="auto"/>
                <w:sz w:val="22"/>
                <w:szCs w:val="22"/>
              </w:rPr>
            </w:pPr>
            <w:r w:rsidRPr="006F3822">
              <w:rPr>
                <w:rFonts w:ascii="Arial" w:hAnsi="Arial" w:cs="Arial"/>
                <w:color w:val="auto"/>
                <w:sz w:val="22"/>
                <w:szCs w:val="22"/>
              </w:rPr>
              <w:t>Description</w:t>
            </w:r>
          </w:p>
        </w:tc>
        <w:tc>
          <w:tcPr>
            <w:tcW w:w="1233"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CF7" w14:textId="77777777" w:rsidR="007C1783" w:rsidRPr="006F3822" w:rsidRDefault="007C1783" w:rsidP="007C1783">
            <w:pPr>
              <w:pStyle w:val="bcepqtbsha"/>
              <w:widowControl/>
              <w:spacing w:after="120" w:line="240" w:lineRule="auto"/>
              <w:ind w:left="80"/>
              <w:rPr>
                <w:rFonts w:ascii="Arial" w:hAnsi="Arial" w:cs="Arial"/>
                <w:color w:val="auto"/>
                <w:sz w:val="22"/>
                <w:szCs w:val="22"/>
              </w:rPr>
            </w:pPr>
            <w:r w:rsidRPr="006F3822">
              <w:rPr>
                <w:rFonts w:ascii="Arial" w:hAnsi="Arial" w:cs="Arial"/>
                <w:color w:val="auto"/>
                <w:sz w:val="22"/>
                <w:szCs w:val="22"/>
              </w:rPr>
              <w:t>Net Income</w:t>
            </w:r>
          </w:p>
        </w:tc>
        <w:tc>
          <w:tcPr>
            <w:tcW w:w="1385"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CF8" w14:textId="77777777" w:rsidR="007C1783" w:rsidRPr="006F3822" w:rsidRDefault="007C1783" w:rsidP="007C1783">
            <w:pPr>
              <w:pStyle w:val="bcepqtbsha"/>
              <w:widowControl/>
              <w:spacing w:after="120" w:line="240" w:lineRule="auto"/>
              <w:rPr>
                <w:rFonts w:ascii="Arial" w:hAnsi="Arial" w:cs="Arial"/>
                <w:color w:val="auto"/>
                <w:sz w:val="22"/>
                <w:szCs w:val="22"/>
              </w:rPr>
            </w:pPr>
            <w:r w:rsidRPr="006F3822">
              <w:rPr>
                <w:rFonts w:ascii="Arial" w:hAnsi="Arial" w:cs="Arial"/>
                <w:color w:val="auto"/>
                <w:sz w:val="22"/>
                <w:szCs w:val="22"/>
              </w:rPr>
              <w:t>Current Assets</w:t>
            </w:r>
          </w:p>
        </w:tc>
        <w:tc>
          <w:tcPr>
            <w:tcW w:w="1436"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CF9" w14:textId="77777777" w:rsidR="007C1783" w:rsidRPr="006F3822" w:rsidRDefault="007C1783" w:rsidP="007C1783">
            <w:pPr>
              <w:pStyle w:val="bcepqtbsha"/>
              <w:widowControl/>
              <w:spacing w:after="120" w:line="240" w:lineRule="auto"/>
              <w:rPr>
                <w:rFonts w:ascii="Arial" w:hAnsi="Arial" w:cs="Arial"/>
                <w:color w:val="auto"/>
                <w:sz w:val="22"/>
                <w:szCs w:val="22"/>
              </w:rPr>
            </w:pPr>
            <w:r w:rsidRPr="006F3822">
              <w:rPr>
                <w:rFonts w:ascii="Arial" w:hAnsi="Arial" w:cs="Arial"/>
                <w:color w:val="auto"/>
                <w:sz w:val="22"/>
                <w:szCs w:val="22"/>
              </w:rPr>
              <w:t>Current Liabilities</w:t>
            </w:r>
          </w:p>
        </w:tc>
        <w:tc>
          <w:tcPr>
            <w:tcW w:w="1159"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CFA" w14:textId="77777777" w:rsidR="007C1783" w:rsidRPr="006F3822" w:rsidRDefault="007C1783" w:rsidP="007C1783">
            <w:pPr>
              <w:pStyle w:val="bcepqtbsha"/>
              <w:widowControl/>
              <w:spacing w:after="120" w:line="240" w:lineRule="auto"/>
              <w:rPr>
                <w:rFonts w:ascii="Arial" w:hAnsi="Arial" w:cs="Arial"/>
                <w:color w:val="auto"/>
                <w:sz w:val="22"/>
                <w:szCs w:val="22"/>
              </w:rPr>
            </w:pPr>
            <w:r w:rsidRPr="006F3822">
              <w:rPr>
                <w:rFonts w:ascii="Arial" w:hAnsi="Arial" w:cs="Arial"/>
                <w:color w:val="auto"/>
                <w:sz w:val="22"/>
                <w:szCs w:val="22"/>
              </w:rPr>
              <w:t>Debt</w:t>
            </w:r>
          </w:p>
        </w:tc>
        <w:tc>
          <w:tcPr>
            <w:tcW w:w="1285"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CFB" w14:textId="77777777" w:rsidR="007C1783" w:rsidRPr="006F3822" w:rsidRDefault="007C1783" w:rsidP="007C1783">
            <w:pPr>
              <w:pStyle w:val="bcepqtbsha"/>
              <w:widowControl/>
              <w:spacing w:after="120" w:line="240" w:lineRule="auto"/>
              <w:rPr>
                <w:rFonts w:ascii="Arial" w:hAnsi="Arial" w:cs="Arial"/>
                <w:color w:val="auto"/>
                <w:sz w:val="22"/>
                <w:szCs w:val="22"/>
              </w:rPr>
            </w:pPr>
            <w:r w:rsidRPr="006F3822">
              <w:rPr>
                <w:rFonts w:ascii="Arial" w:hAnsi="Arial" w:cs="Arial"/>
                <w:color w:val="auto"/>
                <w:sz w:val="22"/>
                <w:szCs w:val="22"/>
              </w:rPr>
              <w:t>Equity</w:t>
            </w:r>
          </w:p>
        </w:tc>
      </w:tr>
      <w:tr w:rsidR="007C1783" w:rsidRPr="007C1783" w14:paraId="5E441D03" w14:textId="77777777" w:rsidTr="007C1783">
        <w:trPr>
          <w:trHeight w:val="23"/>
        </w:trPr>
        <w:tc>
          <w:tcPr>
            <w:tcW w:w="2574" w:type="dxa"/>
            <w:shd w:val="clear" w:color="auto" w:fill="auto"/>
          </w:tcPr>
          <w:p w14:paraId="5E441CFD"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Per ASPE</w:t>
            </w:r>
          </w:p>
        </w:tc>
        <w:tc>
          <w:tcPr>
            <w:tcW w:w="1233" w:type="dxa"/>
            <w:tcBorders>
              <w:top w:val="single" w:sz="4" w:space="0" w:color="auto"/>
            </w:tcBorders>
            <w:shd w:val="clear" w:color="auto" w:fill="auto"/>
          </w:tcPr>
          <w:p w14:paraId="5E441CFE"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$1,500</w:t>
            </w:r>
          </w:p>
        </w:tc>
        <w:tc>
          <w:tcPr>
            <w:tcW w:w="1385" w:type="dxa"/>
            <w:tcBorders>
              <w:top w:val="single" w:sz="4" w:space="0" w:color="auto"/>
            </w:tcBorders>
            <w:shd w:val="clear" w:color="auto" w:fill="auto"/>
          </w:tcPr>
          <w:p w14:paraId="5E441CFF"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$6,800</w:t>
            </w:r>
          </w:p>
        </w:tc>
        <w:tc>
          <w:tcPr>
            <w:tcW w:w="1436" w:type="dxa"/>
            <w:tcBorders>
              <w:top w:val="single" w:sz="4" w:space="0" w:color="auto"/>
            </w:tcBorders>
            <w:shd w:val="clear" w:color="auto" w:fill="auto"/>
            <w:tcMar>
              <w:top w:w="0" w:type="dxa"/>
              <w:left w:w="108" w:type="dxa"/>
              <w:bottom w:w="0" w:type="dxa"/>
              <w:right w:w="108" w:type="dxa"/>
            </w:tcMar>
          </w:tcPr>
          <w:p w14:paraId="5E441D00"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$5,400</w:t>
            </w:r>
          </w:p>
        </w:tc>
        <w:tc>
          <w:tcPr>
            <w:tcW w:w="1159" w:type="dxa"/>
            <w:tcBorders>
              <w:top w:val="single" w:sz="4" w:space="0" w:color="auto"/>
            </w:tcBorders>
            <w:shd w:val="clear" w:color="auto" w:fill="auto"/>
            <w:tcMar>
              <w:top w:w="0" w:type="dxa"/>
              <w:left w:w="108" w:type="dxa"/>
              <w:bottom w:w="0" w:type="dxa"/>
              <w:right w:w="108" w:type="dxa"/>
            </w:tcMar>
          </w:tcPr>
          <w:p w14:paraId="5E441D01"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$12,600</w:t>
            </w:r>
          </w:p>
        </w:tc>
        <w:tc>
          <w:tcPr>
            <w:tcW w:w="1285" w:type="dxa"/>
            <w:tcBorders>
              <w:top w:val="single" w:sz="4" w:space="0" w:color="auto"/>
            </w:tcBorders>
            <w:shd w:val="clear" w:color="auto" w:fill="auto"/>
            <w:tcMar>
              <w:top w:w="0" w:type="dxa"/>
              <w:left w:w="108" w:type="dxa"/>
              <w:bottom w:w="0" w:type="dxa"/>
              <w:right w:w="108" w:type="dxa"/>
            </w:tcMar>
          </w:tcPr>
          <w:p w14:paraId="5E441D02"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$10,900</w:t>
            </w:r>
          </w:p>
        </w:tc>
      </w:tr>
      <w:tr w:rsidR="007C1783" w:rsidRPr="007C1783" w14:paraId="5E441D0A" w14:textId="77777777" w:rsidTr="007C1783">
        <w:trPr>
          <w:trHeight w:val="23"/>
        </w:trPr>
        <w:tc>
          <w:tcPr>
            <w:tcW w:w="2574" w:type="dxa"/>
            <w:shd w:val="clear" w:color="auto" w:fill="auto"/>
          </w:tcPr>
          <w:p w14:paraId="5E441D04"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Impaired loans</w:t>
            </w:r>
          </w:p>
        </w:tc>
        <w:tc>
          <w:tcPr>
            <w:tcW w:w="1233" w:type="dxa"/>
            <w:shd w:val="clear" w:color="auto" w:fill="auto"/>
          </w:tcPr>
          <w:p w14:paraId="5E441D05"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(12)</w:t>
            </w:r>
            <w:r w:rsidRPr="006F3822">
              <w:rPr>
                <w:rFonts w:ascii="Arial" w:hAnsi="Arial" w:cs="Arial"/>
                <w:color w:val="auto"/>
                <w:sz w:val="22"/>
                <w:szCs w:val="22"/>
                <w:vertAlign w:val="superscript"/>
              </w:rPr>
              <w:t>1</w:t>
            </w:r>
          </w:p>
        </w:tc>
        <w:tc>
          <w:tcPr>
            <w:tcW w:w="1385" w:type="dxa"/>
            <w:shd w:val="clear" w:color="auto" w:fill="auto"/>
          </w:tcPr>
          <w:p w14:paraId="5E441D06" w14:textId="77777777"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436" w:type="dxa"/>
            <w:shd w:val="clear" w:color="auto" w:fill="auto"/>
            <w:tcMar>
              <w:top w:w="0" w:type="dxa"/>
              <w:left w:w="108" w:type="dxa"/>
              <w:bottom w:w="0" w:type="dxa"/>
              <w:right w:w="108" w:type="dxa"/>
            </w:tcMar>
          </w:tcPr>
          <w:p w14:paraId="5E441D07"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159" w:type="dxa"/>
            <w:shd w:val="clear" w:color="auto" w:fill="auto"/>
            <w:tcMar>
              <w:top w:w="0" w:type="dxa"/>
              <w:left w:w="108" w:type="dxa"/>
              <w:bottom w:w="0" w:type="dxa"/>
              <w:right w:w="108" w:type="dxa"/>
            </w:tcMar>
          </w:tcPr>
          <w:p w14:paraId="5E441D08"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285" w:type="dxa"/>
            <w:shd w:val="clear" w:color="auto" w:fill="auto"/>
            <w:tcMar>
              <w:top w:w="0" w:type="dxa"/>
              <w:left w:w="108" w:type="dxa"/>
              <w:bottom w:w="0" w:type="dxa"/>
              <w:right w:w="108" w:type="dxa"/>
            </w:tcMar>
          </w:tcPr>
          <w:p w14:paraId="5E441D09"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(12)</w:t>
            </w:r>
            <w:r w:rsidRPr="006F3822">
              <w:rPr>
                <w:rFonts w:ascii="Arial" w:hAnsi="Arial" w:cs="Arial"/>
                <w:color w:val="auto"/>
                <w:sz w:val="22"/>
                <w:szCs w:val="22"/>
                <w:vertAlign w:val="superscript"/>
              </w:rPr>
              <w:t>1</w:t>
            </w:r>
          </w:p>
        </w:tc>
      </w:tr>
      <w:tr w:rsidR="007C1783" w:rsidRPr="007C1783" w14:paraId="5E441D11" w14:textId="77777777" w:rsidTr="007C1783">
        <w:trPr>
          <w:trHeight w:val="23"/>
        </w:trPr>
        <w:tc>
          <w:tcPr>
            <w:tcW w:w="2574" w:type="dxa"/>
            <w:shd w:val="clear" w:color="auto" w:fill="auto"/>
          </w:tcPr>
          <w:p w14:paraId="5E441D0B"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Interest capitalization</w:t>
            </w:r>
          </w:p>
        </w:tc>
        <w:tc>
          <w:tcPr>
            <w:tcW w:w="1233" w:type="dxa"/>
            <w:shd w:val="clear" w:color="auto" w:fill="auto"/>
          </w:tcPr>
          <w:p w14:paraId="5E441D0C"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30</w:t>
            </w:r>
            <w:r w:rsidRPr="006F3822">
              <w:rPr>
                <w:rFonts w:ascii="Arial" w:hAnsi="Arial" w:cs="Arial"/>
                <w:color w:val="auto"/>
                <w:sz w:val="22"/>
                <w:szCs w:val="22"/>
                <w:vertAlign w:val="superscript"/>
              </w:rPr>
              <w:t>2</w:t>
            </w:r>
          </w:p>
        </w:tc>
        <w:tc>
          <w:tcPr>
            <w:tcW w:w="1385" w:type="dxa"/>
            <w:shd w:val="clear" w:color="auto" w:fill="auto"/>
          </w:tcPr>
          <w:p w14:paraId="5E441D0D"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436" w:type="dxa"/>
            <w:shd w:val="clear" w:color="auto" w:fill="auto"/>
            <w:tcMar>
              <w:top w:w="0" w:type="dxa"/>
              <w:left w:w="108" w:type="dxa"/>
              <w:bottom w:w="0" w:type="dxa"/>
              <w:right w:w="108" w:type="dxa"/>
            </w:tcMar>
          </w:tcPr>
          <w:p w14:paraId="5E441D0E" w14:textId="77777777"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159" w:type="dxa"/>
            <w:shd w:val="clear" w:color="auto" w:fill="auto"/>
            <w:tcMar>
              <w:top w:w="0" w:type="dxa"/>
              <w:left w:w="108" w:type="dxa"/>
              <w:bottom w:w="0" w:type="dxa"/>
              <w:right w:w="108" w:type="dxa"/>
            </w:tcMar>
          </w:tcPr>
          <w:p w14:paraId="5E441D0F" w14:textId="77777777"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285" w:type="dxa"/>
            <w:shd w:val="clear" w:color="auto" w:fill="auto"/>
            <w:tcMar>
              <w:top w:w="0" w:type="dxa"/>
              <w:left w:w="108" w:type="dxa"/>
              <w:bottom w:w="0" w:type="dxa"/>
              <w:right w:w="108" w:type="dxa"/>
            </w:tcMar>
          </w:tcPr>
          <w:p w14:paraId="5E441D10"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45</w:t>
            </w:r>
            <w:r w:rsidRPr="006F3822">
              <w:rPr>
                <w:rFonts w:ascii="Arial" w:hAnsi="Arial" w:cs="Arial"/>
                <w:color w:val="auto"/>
                <w:sz w:val="22"/>
                <w:szCs w:val="22"/>
                <w:vertAlign w:val="superscript"/>
              </w:rPr>
              <w:t>3</w:t>
            </w:r>
          </w:p>
        </w:tc>
      </w:tr>
      <w:tr w:rsidR="007C1783" w:rsidRPr="007C1783" w14:paraId="5E441D18" w14:textId="77777777" w:rsidTr="007C1783">
        <w:trPr>
          <w:trHeight w:val="23"/>
        </w:trPr>
        <w:tc>
          <w:tcPr>
            <w:tcW w:w="2574" w:type="dxa"/>
            <w:shd w:val="clear" w:color="auto" w:fill="auto"/>
          </w:tcPr>
          <w:p w14:paraId="5E441D12"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Actuarial loss</w:t>
            </w:r>
          </w:p>
        </w:tc>
        <w:tc>
          <w:tcPr>
            <w:tcW w:w="1233" w:type="dxa"/>
            <w:shd w:val="clear" w:color="auto" w:fill="auto"/>
          </w:tcPr>
          <w:p w14:paraId="5E441D13"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u w:val="single"/>
              </w:rPr>
              <w:t>115</w:t>
            </w:r>
            <w:r w:rsidRPr="006F3822">
              <w:rPr>
                <w:rFonts w:ascii="Arial" w:hAnsi="Arial" w:cs="Arial"/>
                <w:color w:val="auto"/>
                <w:sz w:val="22"/>
                <w:szCs w:val="22"/>
                <w:vertAlign w:val="superscript"/>
              </w:rPr>
              <w:t>4</w:t>
            </w:r>
          </w:p>
        </w:tc>
        <w:tc>
          <w:tcPr>
            <w:tcW w:w="1385" w:type="dxa"/>
            <w:shd w:val="clear" w:color="auto" w:fill="auto"/>
          </w:tcPr>
          <w:p w14:paraId="5E441D14" w14:textId="77777777"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color w:val="auto"/>
                <w:sz w:val="22"/>
                <w:szCs w:val="22"/>
              </w:rPr>
            </w:pPr>
          </w:p>
        </w:tc>
        <w:tc>
          <w:tcPr>
            <w:tcW w:w="1436" w:type="dxa"/>
            <w:shd w:val="clear" w:color="auto" w:fill="auto"/>
            <w:tcMar>
              <w:top w:w="0" w:type="dxa"/>
              <w:left w:w="108" w:type="dxa"/>
              <w:bottom w:w="0" w:type="dxa"/>
              <w:right w:w="108" w:type="dxa"/>
            </w:tcMar>
          </w:tcPr>
          <w:p w14:paraId="5E441D15" w14:textId="77777777"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159" w:type="dxa"/>
            <w:shd w:val="clear" w:color="auto" w:fill="auto"/>
            <w:tcMar>
              <w:top w:w="0" w:type="dxa"/>
              <w:left w:w="108" w:type="dxa"/>
              <w:bottom w:w="0" w:type="dxa"/>
              <w:right w:w="108" w:type="dxa"/>
            </w:tcMar>
          </w:tcPr>
          <w:p w14:paraId="5E441D16" w14:textId="77777777" w:rsidR="007C1783" w:rsidRPr="006F3822" w:rsidRDefault="007C1783" w:rsidP="007C1783">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285" w:type="dxa"/>
            <w:shd w:val="clear" w:color="auto" w:fill="auto"/>
            <w:tcMar>
              <w:top w:w="0" w:type="dxa"/>
              <w:left w:w="108" w:type="dxa"/>
              <w:bottom w:w="0" w:type="dxa"/>
              <w:right w:w="108" w:type="dxa"/>
            </w:tcMar>
          </w:tcPr>
          <w:p w14:paraId="5E441D17"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u w:val="single"/>
              </w:rPr>
              <w:t>0</w:t>
            </w:r>
            <w:r w:rsidRPr="006F3822">
              <w:rPr>
                <w:rFonts w:ascii="Arial" w:hAnsi="Arial" w:cs="Arial"/>
                <w:color w:val="auto"/>
                <w:sz w:val="22"/>
                <w:szCs w:val="22"/>
                <w:vertAlign w:val="superscript"/>
              </w:rPr>
              <w:t>5</w:t>
            </w:r>
          </w:p>
        </w:tc>
      </w:tr>
      <w:tr w:rsidR="007C1783" w:rsidRPr="007C1783" w14:paraId="5E441D1F" w14:textId="77777777" w:rsidTr="007C1783">
        <w:trPr>
          <w:trHeight w:val="23"/>
        </w:trPr>
        <w:tc>
          <w:tcPr>
            <w:tcW w:w="2574" w:type="dxa"/>
            <w:shd w:val="clear" w:color="auto" w:fill="auto"/>
          </w:tcPr>
          <w:p w14:paraId="5E441D19"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 xml:space="preserve">Per </w:t>
            </w:r>
            <w:r w:rsidR="007F2533">
              <w:rPr>
                <w:rFonts w:ascii="Arial" w:hAnsi="Arial" w:cs="Arial"/>
                <w:color w:val="auto"/>
                <w:sz w:val="22"/>
                <w:szCs w:val="22"/>
              </w:rPr>
              <w:t>IFRS</w:t>
            </w:r>
          </w:p>
        </w:tc>
        <w:tc>
          <w:tcPr>
            <w:tcW w:w="1233" w:type="dxa"/>
            <w:shd w:val="clear" w:color="auto" w:fill="auto"/>
          </w:tcPr>
          <w:p w14:paraId="5E441D1A"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1,633</w:t>
            </w:r>
          </w:p>
        </w:tc>
        <w:tc>
          <w:tcPr>
            <w:tcW w:w="1385" w:type="dxa"/>
            <w:shd w:val="clear" w:color="auto" w:fill="auto"/>
            <w:tcMar>
              <w:bottom w:w="0" w:type="dxa"/>
            </w:tcMar>
          </w:tcPr>
          <w:p w14:paraId="5E441D1B"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6,800</w:t>
            </w:r>
          </w:p>
        </w:tc>
        <w:tc>
          <w:tcPr>
            <w:tcW w:w="1436" w:type="dxa"/>
            <w:shd w:val="clear" w:color="auto" w:fill="auto"/>
            <w:tcMar>
              <w:top w:w="0" w:type="dxa"/>
              <w:left w:w="108" w:type="dxa"/>
              <w:bottom w:w="0" w:type="dxa"/>
              <w:right w:w="108" w:type="dxa"/>
            </w:tcMar>
          </w:tcPr>
          <w:p w14:paraId="5E441D1C"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5,400</w:t>
            </w:r>
          </w:p>
        </w:tc>
        <w:tc>
          <w:tcPr>
            <w:tcW w:w="1159" w:type="dxa"/>
            <w:shd w:val="clear" w:color="auto" w:fill="auto"/>
            <w:tcMar>
              <w:top w:w="0" w:type="dxa"/>
              <w:left w:w="108" w:type="dxa"/>
              <w:bottom w:w="0" w:type="dxa"/>
              <w:right w:w="108" w:type="dxa"/>
            </w:tcMar>
          </w:tcPr>
          <w:p w14:paraId="5E441D1D"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12,600</w:t>
            </w:r>
          </w:p>
        </w:tc>
        <w:tc>
          <w:tcPr>
            <w:tcW w:w="1285" w:type="dxa"/>
            <w:shd w:val="clear" w:color="auto" w:fill="auto"/>
            <w:tcMar>
              <w:left w:w="108" w:type="dxa"/>
              <w:right w:w="108" w:type="dxa"/>
            </w:tcMar>
          </w:tcPr>
          <w:p w14:paraId="5E441D1E" w14:textId="77777777" w:rsidR="007C1783" w:rsidRPr="006F3822" w:rsidRDefault="007C1783" w:rsidP="007C1783">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F3822">
              <w:rPr>
                <w:rFonts w:ascii="Arial" w:hAnsi="Arial" w:cs="Arial"/>
                <w:color w:val="auto"/>
                <w:sz w:val="22"/>
                <w:szCs w:val="22"/>
              </w:rPr>
              <w:t>$</w:t>
            </w:r>
            <w:r w:rsidRPr="006F3822">
              <w:rPr>
                <w:rFonts w:ascii="Arial" w:hAnsi="Arial" w:cs="Arial"/>
                <w:color w:val="auto"/>
                <w:sz w:val="22"/>
                <w:szCs w:val="22"/>
                <w:u w:val="double"/>
              </w:rPr>
              <w:t>10,933</w:t>
            </w:r>
          </w:p>
        </w:tc>
      </w:tr>
    </w:tbl>
    <w:p w14:paraId="5E441D20" w14:textId="77777777" w:rsidR="007C1783" w:rsidRPr="006F3822" w:rsidRDefault="007C1783" w:rsidP="007C1783">
      <w:pPr>
        <w:pStyle w:val="bcepqtbcn"/>
        <w:widowControl/>
        <w:spacing w:before="0" w:after="120" w:line="240" w:lineRule="auto"/>
        <w:jc w:val="both"/>
        <w:rPr>
          <w:rFonts w:ascii="Arial" w:hAnsi="Arial" w:cs="Arial"/>
          <w:color w:val="auto"/>
          <w:sz w:val="22"/>
          <w:szCs w:val="22"/>
        </w:rPr>
      </w:pPr>
    </w:p>
    <w:tbl>
      <w:tblPr>
        <w:tblW w:w="9072" w:type="dxa"/>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78"/>
        <w:gridCol w:w="2223"/>
        <w:gridCol w:w="2313"/>
        <w:gridCol w:w="2058"/>
      </w:tblGrid>
      <w:tr w:rsidR="007C1783" w:rsidRPr="007C1783" w14:paraId="5E441D25" w14:textId="77777777" w:rsidTr="007C1783">
        <w:trPr>
          <w:trHeight w:val="23"/>
        </w:trPr>
        <w:tc>
          <w:tcPr>
            <w:tcW w:w="2478" w:type="dxa"/>
            <w:tcBorders>
              <w:top w:val="single" w:sz="4" w:space="0" w:color="auto"/>
              <w:bottom w:val="single" w:sz="4" w:space="0" w:color="auto"/>
            </w:tcBorders>
            <w:shd w:val="clear" w:color="auto" w:fill="auto"/>
            <w:tcMar>
              <w:top w:w="0" w:type="dxa"/>
              <w:left w:w="108" w:type="dxa"/>
              <w:bottom w:w="0" w:type="dxa"/>
              <w:right w:w="108" w:type="dxa"/>
            </w:tcMar>
          </w:tcPr>
          <w:p w14:paraId="5E441D21" w14:textId="77777777" w:rsidR="007C1783" w:rsidRPr="006F3822" w:rsidRDefault="007C1783" w:rsidP="007C1783">
            <w:pPr>
              <w:pStyle w:val="NoParagraphStyle"/>
              <w:widowControl/>
              <w:spacing w:after="120" w:line="240" w:lineRule="auto"/>
              <w:jc w:val="both"/>
              <w:textAlignment w:val="auto"/>
              <w:rPr>
                <w:rFonts w:ascii="Arial" w:hAnsi="Arial" w:cs="Arial"/>
                <w:b/>
                <w:color w:val="auto"/>
                <w:sz w:val="22"/>
                <w:szCs w:val="22"/>
              </w:rPr>
            </w:pPr>
          </w:p>
        </w:tc>
        <w:tc>
          <w:tcPr>
            <w:tcW w:w="2223" w:type="dxa"/>
            <w:tcBorders>
              <w:top w:val="single" w:sz="4" w:space="0" w:color="auto"/>
              <w:bottom w:val="single" w:sz="4" w:space="0" w:color="auto"/>
            </w:tcBorders>
            <w:shd w:val="clear" w:color="auto" w:fill="auto"/>
            <w:tcMar>
              <w:top w:w="0" w:type="dxa"/>
              <w:left w:w="108" w:type="dxa"/>
              <w:bottom w:w="0" w:type="dxa"/>
              <w:right w:w="108" w:type="dxa"/>
            </w:tcMar>
          </w:tcPr>
          <w:p w14:paraId="5E441D22" w14:textId="77777777" w:rsidR="007C1783" w:rsidRPr="006F3822" w:rsidRDefault="007C1783" w:rsidP="007C1783">
            <w:pPr>
              <w:pStyle w:val="NoParagraphStyle"/>
              <w:widowControl/>
              <w:spacing w:after="120" w:line="240" w:lineRule="auto"/>
              <w:jc w:val="both"/>
              <w:textAlignment w:val="auto"/>
              <w:rPr>
                <w:rFonts w:ascii="Arial" w:hAnsi="Arial" w:cs="Arial"/>
                <w:b/>
                <w:color w:val="auto"/>
                <w:sz w:val="22"/>
                <w:szCs w:val="22"/>
              </w:rPr>
            </w:pPr>
          </w:p>
        </w:tc>
        <w:tc>
          <w:tcPr>
            <w:tcW w:w="2313" w:type="dxa"/>
            <w:tcBorders>
              <w:top w:val="single" w:sz="4" w:space="0" w:color="auto"/>
              <w:bottom w:val="single" w:sz="4" w:space="0" w:color="auto"/>
            </w:tcBorders>
            <w:shd w:val="clear" w:color="auto" w:fill="auto"/>
            <w:tcMar>
              <w:top w:w="0" w:type="dxa"/>
              <w:left w:w="108" w:type="dxa"/>
              <w:bottom w:w="0" w:type="dxa"/>
              <w:right w:w="108" w:type="dxa"/>
            </w:tcMar>
          </w:tcPr>
          <w:p w14:paraId="5E441D23" w14:textId="77777777" w:rsidR="007C1783" w:rsidRPr="006F3822" w:rsidRDefault="007C1783" w:rsidP="007C1783">
            <w:pPr>
              <w:pStyle w:val="bcepqtbsha"/>
              <w:widowControl/>
              <w:spacing w:after="120" w:line="240" w:lineRule="auto"/>
              <w:jc w:val="both"/>
              <w:rPr>
                <w:rFonts w:ascii="Arial" w:hAnsi="Arial" w:cs="Arial"/>
                <w:color w:val="auto"/>
                <w:sz w:val="22"/>
                <w:szCs w:val="22"/>
              </w:rPr>
            </w:pPr>
            <w:r w:rsidRPr="006F3822">
              <w:rPr>
                <w:rFonts w:ascii="Arial" w:hAnsi="Arial" w:cs="Arial"/>
                <w:color w:val="auto"/>
                <w:sz w:val="22"/>
                <w:szCs w:val="22"/>
              </w:rPr>
              <w:t>ASPE</w:t>
            </w:r>
          </w:p>
        </w:tc>
        <w:tc>
          <w:tcPr>
            <w:tcW w:w="2058" w:type="dxa"/>
            <w:tcBorders>
              <w:top w:val="single" w:sz="4" w:space="0" w:color="auto"/>
              <w:bottom w:val="single" w:sz="4" w:space="0" w:color="auto"/>
            </w:tcBorders>
            <w:shd w:val="clear" w:color="auto" w:fill="auto"/>
            <w:tcMar>
              <w:top w:w="0" w:type="dxa"/>
              <w:left w:w="108" w:type="dxa"/>
              <w:bottom w:w="0" w:type="dxa"/>
              <w:right w:w="108" w:type="dxa"/>
            </w:tcMar>
          </w:tcPr>
          <w:p w14:paraId="5E441D24" w14:textId="77777777" w:rsidR="007C1783" w:rsidRPr="006F3822" w:rsidRDefault="007F2533" w:rsidP="007C1783">
            <w:pPr>
              <w:pStyle w:val="bcepqtbsha"/>
              <w:widowControl/>
              <w:spacing w:after="120" w:line="240" w:lineRule="auto"/>
              <w:jc w:val="both"/>
              <w:rPr>
                <w:rFonts w:ascii="Arial" w:hAnsi="Arial" w:cs="Arial"/>
                <w:color w:val="auto"/>
                <w:sz w:val="22"/>
                <w:szCs w:val="22"/>
              </w:rPr>
            </w:pPr>
            <w:r>
              <w:rPr>
                <w:rFonts w:ascii="Arial" w:hAnsi="Arial" w:cs="Arial"/>
                <w:color w:val="auto"/>
                <w:sz w:val="22"/>
                <w:szCs w:val="22"/>
              </w:rPr>
              <w:t>IFRS</w:t>
            </w:r>
          </w:p>
        </w:tc>
      </w:tr>
      <w:tr w:rsidR="007C1783" w:rsidRPr="007C1783" w14:paraId="5E441D2D" w14:textId="77777777" w:rsidTr="007C1783">
        <w:trPr>
          <w:trHeight w:val="23"/>
        </w:trPr>
        <w:tc>
          <w:tcPr>
            <w:tcW w:w="2478" w:type="dxa"/>
            <w:tcBorders>
              <w:top w:val="single" w:sz="4" w:space="0" w:color="auto"/>
            </w:tcBorders>
            <w:shd w:val="clear" w:color="auto" w:fill="auto"/>
          </w:tcPr>
          <w:p w14:paraId="5E441D26"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lastRenderedPageBreak/>
              <w:t>Current ratio</w:t>
            </w:r>
          </w:p>
        </w:tc>
        <w:tc>
          <w:tcPr>
            <w:tcW w:w="2223" w:type="dxa"/>
            <w:tcBorders>
              <w:top w:val="single" w:sz="4" w:space="0" w:color="auto"/>
            </w:tcBorders>
            <w:shd w:val="clear" w:color="auto" w:fill="auto"/>
            <w:tcMar>
              <w:top w:w="0" w:type="dxa"/>
              <w:left w:w="108" w:type="dxa"/>
              <w:bottom w:w="0" w:type="dxa"/>
              <w:right w:w="108" w:type="dxa"/>
            </w:tcMar>
          </w:tcPr>
          <w:p w14:paraId="5E441D27" w14:textId="77777777" w:rsidR="007C1783" w:rsidRPr="006F3822" w:rsidRDefault="007C1783" w:rsidP="007C1783">
            <w:pPr>
              <w:pStyle w:val="bcepqtbtx"/>
              <w:widowControl/>
              <w:spacing w:after="120" w:line="240" w:lineRule="auto"/>
              <w:ind w:left="100"/>
              <w:jc w:val="both"/>
              <w:rPr>
                <w:rStyle w:val="rule1"/>
                <w:rFonts w:ascii="Arial" w:hAnsi="Arial" w:cs="Arial"/>
                <w:color w:val="auto"/>
                <w:sz w:val="22"/>
                <w:szCs w:val="22"/>
              </w:rPr>
            </w:pPr>
            <w:r w:rsidRPr="006F3822">
              <w:rPr>
                <w:rStyle w:val="rule1roman"/>
                <w:rFonts w:ascii="Arial" w:hAnsi="Arial" w:cs="Arial"/>
                <w:color w:val="auto"/>
                <w:sz w:val="22"/>
                <w:szCs w:val="22"/>
                <w:u w:val="single"/>
              </w:rPr>
              <w:t>Current assets</w:t>
            </w:r>
          </w:p>
          <w:p w14:paraId="5E441D28"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Current liabilities</w:t>
            </w:r>
          </w:p>
        </w:tc>
        <w:tc>
          <w:tcPr>
            <w:tcW w:w="2313" w:type="dxa"/>
            <w:tcBorders>
              <w:top w:val="single" w:sz="4" w:space="0" w:color="auto"/>
            </w:tcBorders>
            <w:shd w:val="clear" w:color="auto" w:fill="auto"/>
            <w:tcMar>
              <w:top w:w="0" w:type="dxa"/>
              <w:left w:w="108" w:type="dxa"/>
              <w:bottom w:w="0" w:type="dxa"/>
              <w:right w:w="108" w:type="dxa"/>
            </w:tcMar>
          </w:tcPr>
          <w:p w14:paraId="5E441D29"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
                <w:rFonts w:ascii="Arial" w:hAnsi="Arial" w:cs="Arial"/>
                <w:color w:val="auto"/>
                <w:sz w:val="22"/>
                <w:szCs w:val="22"/>
              </w:rPr>
              <w:t>  </w:t>
            </w:r>
            <w:r w:rsidRPr="006F3822">
              <w:rPr>
                <w:rStyle w:val="rule1roman"/>
                <w:rFonts w:ascii="Arial" w:hAnsi="Arial" w:cs="Arial"/>
                <w:color w:val="auto"/>
                <w:sz w:val="22"/>
                <w:szCs w:val="22"/>
                <w:u w:val="single"/>
              </w:rPr>
              <w:t>6,800</w:t>
            </w:r>
            <w:r w:rsidRPr="006F3822">
              <w:rPr>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1.26</w:t>
            </w:r>
          </w:p>
          <w:p w14:paraId="5E441D2A"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  5,400</w:t>
            </w:r>
          </w:p>
        </w:tc>
        <w:tc>
          <w:tcPr>
            <w:tcW w:w="2058" w:type="dxa"/>
            <w:tcBorders>
              <w:top w:val="single" w:sz="4" w:space="0" w:color="auto"/>
            </w:tcBorders>
            <w:shd w:val="clear" w:color="auto" w:fill="auto"/>
            <w:tcMar>
              <w:top w:w="0" w:type="dxa"/>
              <w:left w:w="108" w:type="dxa"/>
              <w:bottom w:w="0" w:type="dxa"/>
              <w:right w:w="108" w:type="dxa"/>
            </w:tcMar>
          </w:tcPr>
          <w:p w14:paraId="5E441D2B"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
                <w:rFonts w:ascii="Arial" w:hAnsi="Arial" w:cs="Arial"/>
                <w:color w:val="auto"/>
                <w:sz w:val="22"/>
                <w:szCs w:val="22"/>
              </w:rPr>
              <w:t>  </w:t>
            </w:r>
            <w:r w:rsidRPr="006F3822">
              <w:rPr>
                <w:rStyle w:val="rule1roman"/>
                <w:rFonts w:ascii="Arial" w:hAnsi="Arial" w:cs="Arial"/>
                <w:color w:val="auto"/>
                <w:sz w:val="22"/>
                <w:szCs w:val="22"/>
                <w:u w:val="single"/>
              </w:rPr>
              <w:t>6,800</w:t>
            </w:r>
            <w:r w:rsidRPr="006F3822">
              <w:rPr>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1.26</w:t>
            </w:r>
          </w:p>
          <w:p w14:paraId="5E441D2C"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  5,400</w:t>
            </w:r>
          </w:p>
        </w:tc>
      </w:tr>
      <w:tr w:rsidR="007C1783" w:rsidRPr="007C1783" w14:paraId="5E441D35" w14:textId="77777777" w:rsidTr="007C1783">
        <w:trPr>
          <w:trHeight w:val="23"/>
        </w:trPr>
        <w:tc>
          <w:tcPr>
            <w:tcW w:w="2478" w:type="dxa"/>
            <w:shd w:val="clear" w:color="auto" w:fill="auto"/>
          </w:tcPr>
          <w:p w14:paraId="5E441D2E"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Debt to equity</w:t>
            </w:r>
          </w:p>
        </w:tc>
        <w:tc>
          <w:tcPr>
            <w:tcW w:w="2223" w:type="dxa"/>
            <w:shd w:val="clear" w:color="auto" w:fill="auto"/>
            <w:tcMar>
              <w:top w:w="0" w:type="dxa"/>
              <w:left w:w="108" w:type="dxa"/>
              <w:bottom w:w="0" w:type="dxa"/>
              <w:right w:w="108" w:type="dxa"/>
            </w:tcMar>
          </w:tcPr>
          <w:p w14:paraId="5E441D2F" w14:textId="77777777" w:rsidR="007C1783" w:rsidRPr="006F3822" w:rsidRDefault="007C1783" w:rsidP="007C1783">
            <w:pPr>
              <w:pStyle w:val="bcepqtbtx"/>
              <w:widowControl/>
              <w:spacing w:after="120" w:line="240" w:lineRule="auto"/>
              <w:ind w:left="100"/>
              <w:jc w:val="both"/>
              <w:rPr>
                <w:rStyle w:val="rule1"/>
                <w:rFonts w:ascii="Arial" w:hAnsi="Arial" w:cs="Arial"/>
                <w:color w:val="auto"/>
                <w:sz w:val="22"/>
                <w:szCs w:val="22"/>
              </w:rPr>
            </w:pPr>
            <w:r w:rsidRPr="006F3822">
              <w:rPr>
                <w:rStyle w:val="rule1roman"/>
                <w:rFonts w:ascii="Arial" w:hAnsi="Arial" w:cs="Arial"/>
                <w:color w:val="auto"/>
                <w:sz w:val="22"/>
                <w:szCs w:val="22"/>
                <w:u w:val="single"/>
              </w:rPr>
              <w:t>Debt</w:t>
            </w:r>
          </w:p>
          <w:p w14:paraId="5E441D30"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Equity</w:t>
            </w:r>
          </w:p>
        </w:tc>
        <w:tc>
          <w:tcPr>
            <w:tcW w:w="2313" w:type="dxa"/>
            <w:shd w:val="clear" w:color="auto" w:fill="auto"/>
            <w:tcMar>
              <w:top w:w="0" w:type="dxa"/>
              <w:left w:w="108" w:type="dxa"/>
              <w:bottom w:w="0" w:type="dxa"/>
              <w:right w:w="108" w:type="dxa"/>
            </w:tcMar>
          </w:tcPr>
          <w:p w14:paraId="5E441D31"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roman"/>
                <w:rFonts w:ascii="Arial" w:hAnsi="Arial" w:cs="Arial"/>
                <w:color w:val="auto"/>
                <w:sz w:val="22"/>
                <w:szCs w:val="22"/>
                <w:u w:val="single"/>
              </w:rPr>
              <w:t>12,600</w:t>
            </w:r>
            <w:r w:rsidRPr="006F3822">
              <w:rPr>
                <w:rStyle w:val="rule1"/>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1.16</w:t>
            </w:r>
          </w:p>
          <w:p w14:paraId="5E441D32"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10,900</w:t>
            </w:r>
          </w:p>
        </w:tc>
        <w:tc>
          <w:tcPr>
            <w:tcW w:w="2058" w:type="dxa"/>
            <w:shd w:val="clear" w:color="auto" w:fill="auto"/>
            <w:tcMar>
              <w:top w:w="0" w:type="dxa"/>
              <w:left w:w="108" w:type="dxa"/>
              <w:bottom w:w="0" w:type="dxa"/>
              <w:right w:w="108" w:type="dxa"/>
            </w:tcMar>
          </w:tcPr>
          <w:p w14:paraId="5E441D33"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roman"/>
                <w:rFonts w:ascii="Arial" w:hAnsi="Arial" w:cs="Arial"/>
                <w:color w:val="auto"/>
                <w:sz w:val="22"/>
                <w:szCs w:val="22"/>
                <w:u w:val="single"/>
              </w:rPr>
              <w:t>12,600</w:t>
            </w:r>
            <w:r w:rsidRPr="006F3822">
              <w:rPr>
                <w:rStyle w:val="rule1"/>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1.15</w:t>
            </w:r>
          </w:p>
          <w:p w14:paraId="5E441D34"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10,933</w:t>
            </w:r>
          </w:p>
        </w:tc>
      </w:tr>
      <w:tr w:rsidR="007C1783" w:rsidRPr="007C1783" w14:paraId="5E441D3D" w14:textId="77777777" w:rsidTr="007C1783">
        <w:trPr>
          <w:trHeight w:val="23"/>
        </w:trPr>
        <w:tc>
          <w:tcPr>
            <w:tcW w:w="2478" w:type="dxa"/>
            <w:shd w:val="clear" w:color="auto" w:fill="auto"/>
          </w:tcPr>
          <w:p w14:paraId="5E441D36" w14:textId="77777777" w:rsidR="007C1783" w:rsidRPr="006F3822" w:rsidRDefault="007C1783" w:rsidP="007C1783">
            <w:pPr>
              <w:pStyle w:val="bcepqtbtx"/>
              <w:widowControl/>
              <w:spacing w:after="120" w:line="240" w:lineRule="auto"/>
              <w:jc w:val="both"/>
              <w:rPr>
                <w:rFonts w:ascii="Arial" w:hAnsi="Arial" w:cs="Arial"/>
                <w:color w:val="auto"/>
                <w:sz w:val="22"/>
                <w:szCs w:val="22"/>
              </w:rPr>
            </w:pPr>
            <w:r w:rsidRPr="006F3822">
              <w:rPr>
                <w:rFonts w:ascii="Arial" w:hAnsi="Arial" w:cs="Arial"/>
                <w:color w:val="auto"/>
                <w:sz w:val="22"/>
                <w:szCs w:val="22"/>
              </w:rPr>
              <w:t>Return on total equity</w:t>
            </w:r>
          </w:p>
        </w:tc>
        <w:tc>
          <w:tcPr>
            <w:tcW w:w="2223" w:type="dxa"/>
            <w:shd w:val="clear" w:color="auto" w:fill="auto"/>
            <w:tcMar>
              <w:top w:w="0" w:type="dxa"/>
              <w:left w:w="108" w:type="dxa"/>
              <w:bottom w:w="0" w:type="dxa"/>
              <w:right w:w="108" w:type="dxa"/>
            </w:tcMar>
          </w:tcPr>
          <w:p w14:paraId="5E441D37" w14:textId="77777777" w:rsidR="007C1783" w:rsidRPr="006F3822" w:rsidRDefault="007C1783" w:rsidP="007C1783">
            <w:pPr>
              <w:pStyle w:val="bcepqtbtx"/>
              <w:widowControl/>
              <w:spacing w:after="120" w:line="240" w:lineRule="auto"/>
              <w:ind w:left="100"/>
              <w:jc w:val="both"/>
              <w:rPr>
                <w:rStyle w:val="rule1"/>
                <w:rFonts w:ascii="Arial" w:hAnsi="Arial" w:cs="Arial"/>
                <w:color w:val="auto"/>
                <w:sz w:val="22"/>
                <w:szCs w:val="22"/>
              </w:rPr>
            </w:pPr>
            <w:r w:rsidRPr="006F3822">
              <w:rPr>
                <w:rStyle w:val="rule1roman"/>
                <w:rFonts w:ascii="Arial" w:hAnsi="Arial" w:cs="Arial"/>
                <w:color w:val="auto"/>
                <w:sz w:val="22"/>
                <w:szCs w:val="22"/>
                <w:u w:val="single"/>
              </w:rPr>
              <w:t>Net income</w:t>
            </w:r>
          </w:p>
          <w:p w14:paraId="5E441D38"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Total equity</w:t>
            </w:r>
          </w:p>
        </w:tc>
        <w:tc>
          <w:tcPr>
            <w:tcW w:w="2313" w:type="dxa"/>
            <w:shd w:val="clear" w:color="auto" w:fill="auto"/>
            <w:tcMar>
              <w:top w:w="0" w:type="dxa"/>
              <w:left w:w="108" w:type="dxa"/>
              <w:bottom w:w="0" w:type="dxa"/>
              <w:right w:w="108" w:type="dxa"/>
            </w:tcMar>
          </w:tcPr>
          <w:p w14:paraId="5E441D39"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
                <w:rFonts w:ascii="Arial" w:hAnsi="Arial" w:cs="Arial"/>
                <w:color w:val="auto"/>
                <w:sz w:val="22"/>
                <w:szCs w:val="22"/>
              </w:rPr>
              <w:t> </w:t>
            </w:r>
            <w:r w:rsidRPr="006F3822">
              <w:rPr>
                <w:rStyle w:val="rule1roman"/>
                <w:rFonts w:ascii="Arial" w:hAnsi="Arial" w:cs="Arial"/>
                <w:color w:val="auto"/>
                <w:sz w:val="22"/>
                <w:szCs w:val="22"/>
                <w:u w:val="single"/>
              </w:rPr>
              <w:t>1,500</w:t>
            </w:r>
            <w:r w:rsidRPr="006F3822">
              <w:rPr>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13.76%</w:t>
            </w:r>
          </w:p>
          <w:p w14:paraId="5E441D3A"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10,900</w:t>
            </w:r>
          </w:p>
        </w:tc>
        <w:tc>
          <w:tcPr>
            <w:tcW w:w="2058" w:type="dxa"/>
            <w:shd w:val="clear" w:color="auto" w:fill="auto"/>
            <w:tcMar>
              <w:top w:w="0" w:type="dxa"/>
              <w:left w:w="108" w:type="dxa"/>
              <w:bottom w:w="0" w:type="dxa"/>
              <w:right w:w="108" w:type="dxa"/>
            </w:tcMar>
          </w:tcPr>
          <w:p w14:paraId="5E441D3B"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Style w:val="rule1"/>
                <w:rFonts w:ascii="Arial" w:hAnsi="Arial" w:cs="Arial"/>
                <w:color w:val="auto"/>
                <w:sz w:val="22"/>
                <w:szCs w:val="22"/>
              </w:rPr>
              <w:t> </w:t>
            </w:r>
            <w:r w:rsidRPr="006F3822">
              <w:rPr>
                <w:rStyle w:val="rule1roman"/>
                <w:rFonts w:ascii="Arial" w:hAnsi="Arial" w:cs="Arial"/>
                <w:color w:val="auto"/>
                <w:sz w:val="22"/>
                <w:szCs w:val="22"/>
                <w:u w:val="single"/>
              </w:rPr>
              <w:t>1,633</w:t>
            </w:r>
            <w:r w:rsidRPr="006F3822">
              <w:rPr>
                <w:rFonts w:ascii="Arial" w:hAnsi="Arial" w:cs="Arial"/>
                <w:color w:val="auto"/>
                <w:sz w:val="22"/>
                <w:szCs w:val="22"/>
              </w:rPr>
              <w:t> </w:t>
            </w:r>
            <w:r w:rsidRPr="006F3822">
              <w:rPr>
                <w:rStyle w:val="mpi"/>
                <w:rFonts w:ascii="Arial" w:hAnsi="Arial" w:cs="Arial"/>
                <w:color w:val="auto"/>
                <w:sz w:val="22"/>
                <w:szCs w:val="22"/>
              </w:rPr>
              <w:t>=</w:t>
            </w:r>
            <w:r w:rsidRPr="006F3822">
              <w:rPr>
                <w:rFonts w:ascii="Arial" w:hAnsi="Arial" w:cs="Arial"/>
                <w:color w:val="auto"/>
                <w:sz w:val="22"/>
                <w:szCs w:val="22"/>
              </w:rPr>
              <w:t> 14.94%</w:t>
            </w:r>
          </w:p>
          <w:p w14:paraId="5E441D3C" w14:textId="77777777" w:rsidR="007C1783" w:rsidRPr="006F3822" w:rsidRDefault="007C1783" w:rsidP="007C1783">
            <w:pPr>
              <w:pStyle w:val="bcepqtbtx"/>
              <w:widowControl/>
              <w:spacing w:after="120" w:line="240" w:lineRule="auto"/>
              <w:ind w:left="100"/>
              <w:jc w:val="both"/>
              <w:rPr>
                <w:rFonts w:ascii="Arial" w:hAnsi="Arial" w:cs="Arial"/>
                <w:color w:val="auto"/>
                <w:sz w:val="22"/>
                <w:szCs w:val="22"/>
              </w:rPr>
            </w:pPr>
            <w:r w:rsidRPr="006F3822">
              <w:rPr>
                <w:rFonts w:ascii="Arial" w:hAnsi="Arial" w:cs="Arial"/>
                <w:color w:val="auto"/>
                <w:sz w:val="22"/>
                <w:szCs w:val="22"/>
              </w:rPr>
              <w:t>10,933</w:t>
            </w:r>
          </w:p>
        </w:tc>
      </w:tr>
    </w:tbl>
    <w:p w14:paraId="5E441D3E" w14:textId="77777777" w:rsidR="007C1783" w:rsidRPr="006F3822" w:rsidRDefault="007C1783" w:rsidP="006F3822">
      <w:pPr>
        <w:pStyle w:val="bcepqtbtx"/>
        <w:widowControl/>
        <w:spacing w:before="240" w:after="120" w:line="360" w:lineRule="auto"/>
        <w:jc w:val="both"/>
        <w:rPr>
          <w:rFonts w:ascii="Arial" w:hAnsi="Arial" w:cs="Arial"/>
          <w:b/>
          <w:bCs/>
          <w:color w:val="auto"/>
          <w:sz w:val="22"/>
          <w:szCs w:val="22"/>
        </w:rPr>
      </w:pPr>
      <w:r w:rsidRPr="006F3822">
        <w:rPr>
          <w:rStyle w:val="bold"/>
          <w:rFonts w:ascii="Arial" w:hAnsi="Arial" w:cs="Arial"/>
          <w:color w:val="auto"/>
          <w:sz w:val="22"/>
          <w:szCs w:val="22"/>
        </w:rPr>
        <w:t>Notes:</w:t>
      </w:r>
    </w:p>
    <w:p w14:paraId="5E441D3F" w14:textId="77777777" w:rsidR="007C1783" w:rsidRPr="006F3822" w:rsidRDefault="007C1783" w:rsidP="006F3822">
      <w:pPr>
        <w:pStyle w:val="bcepqlnfirst"/>
        <w:widowControl/>
        <w:spacing w:before="0" w:after="120" w:line="360" w:lineRule="auto"/>
        <w:rPr>
          <w:rFonts w:ascii="Arial" w:hAnsi="Arial" w:cs="Arial"/>
          <w:color w:val="auto"/>
          <w:sz w:val="22"/>
          <w:szCs w:val="22"/>
        </w:rPr>
      </w:pPr>
      <w:r w:rsidRPr="006F3822">
        <w:rPr>
          <w:rFonts w:ascii="Arial" w:hAnsi="Arial" w:cs="Arial"/>
          <w:color w:val="auto"/>
          <w:sz w:val="22"/>
          <w:szCs w:val="22"/>
        </w:rPr>
        <w:tab/>
        <w:t>1.</w:t>
      </w:r>
      <w:r w:rsidRPr="006F3822">
        <w:rPr>
          <w:rFonts w:ascii="Arial" w:hAnsi="Arial" w:cs="Arial"/>
          <w:color w:val="auto"/>
          <w:sz w:val="22"/>
          <w:szCs w:val="22"/>
        </w:rPr>
        <w:tab/>
        <w:t xml:space="preserve">The loan receivable is $452 under ASPE and should be $440 under </w:t>
      </w:r>
      <w:r w:rsidR="007F2533">
        <w:rPr>
          <w:rFonts w:ascii="Arial" w:hAnsi="Arial" w:cs="Arial"/>
          <w:color w:val="auto"/>
          <w:sz w:val="22"/>
          <w:szCs w:val="22"/>
        </w:rPr>
        <w:t>IFRS</w:t>
      </w:r>
      <w:r w:rsidRPr="006F3822">
        <w:rPr>
          <w:rFonts w:ascii="Arial" w:hAnsi="Arial" w:cs="Arial"/>
          <w:color w:val="auto"/>
          <w:sz w:val="22"/>
          <w:szCs w:val="22"/>
        </w:rPr>
        <w:t>.</w:t>
      </w:r>
    </w:p>
    <w:p w14:paraId="5E441D40" w14:textId="77777777" w:rsidR="007C1783" w:rsidRPr="006F3822" w:rsidRDefault="007C1783" w:rsidP="006F3822">
      <w:pPr>
        <w:pStyle w:val="bcepqln"/>
        <w:widowControl/>
        <w:spacing w:before="0" w:after="120" w:line="360" w:lineRule="auto"/>
        <w:rPr>
          <w:rFonts w:ascii="Arial" w:hAnsi="Arial" w:cs="Arial"/>
          <w:color w:val="auto"/>
          <w:sz w:val="22"/>
          <w:szCs w:val="22"/>
        </w:rPr>
      </w:pPr>
      <w:r w:rsidRPr="006F3822">
        <w:rPr>
          <w:rFonts w:ascii="Arial" w:hAnsi="Arial" w:cs="Arial"/>
          <w:color w:val="auto"/>
          <w:sz w:val="22"/>
          <w:szCs w:val="22"/>
        </w:rPr>
        <w:tab/>
        <w:t>2.</w:t>
      </w:r>
      <w:r w:rsidRPr="006F3822">
        <w:rPr>
          <w:rFonts w:ascii="Arial" w:hAnsi="Arial" w:cs="Arial"/>
          <w:color w:val="auto"/>
          <w:sz w:val="22"/>
          <w:szCs w:val="22"/>
        </w:rPr>
        <w:tab/>
        <w:t>The interest cost was expensed under ASPE and should be capitalized under IFRS. (500 x 6% = 30)</w:t>
      </w:r>
    </w:p>
    <w:p w14:paraId="5E441D41" w14:textId="77777777" w:rsidR="007C1783" w:rsidRPr="006F3822" w:rsidRDefault="007C1783" w:rsidP="006F3822">
      <w:pPr>
        <w:pStyle w:val="bcepqln"/>
        <w:widowControl/>
        <w:spacing w:before="0" w:after="120" w:line="360" w:lineRule="auto"/>
        <w:rPr>
          <w:rFonts w:ascii="Arial" w:hAnsi="Arial" w:cs="Arial"/>
          <w:color w:val="auto"/>
          <w:sz w:val="22"/>
          <w:szCs w:val="22"/>
        </w:rPr>
      </w:pPr>
      <w:r w:rsidRPr="006F3822">
        <w:rPr>
          <w:rFonts w:ascii="Arial" w:hAnsi="Arial" w:cs="Arial"/>
          <w:color w:val="auto"/>
          <w:sz w:val="22"/>
          <w:szCs w:val="22"/>
        </w:rPr>
        <w:tab/>
        <w:t>3.</w:t>
      </w:r>
      <w:r w:rsidRPr="006F3822">
        <w:rPr>
          <w:rFonts w:ascii="Arial" w:hAnsi="Arial" w:cs="Arial"/>
          <w:color w:val="auto"/>
          <w:sz w:val="22"/>
          <w:szCs w:val="22"/>
        </w:rPr>
        <w:tab/>
        <w:t>The interest cost was expensed under ASPE and should be capitalized under IFRS. (500x6% x 1.5 years = 45)</w:t>
      </w:r>
    </w:p>
    <w:p w14:paraId="5E441D42" w14:textId="77777777" w:rsidR="007C1783" w:rsidRPr="006F3822" w:rsidRDefault="007C1783" w:rsidP="006F3822">
      <w:pPr>
        <w:pStyle w:val="bcepqln"/>
        <w:widowControl/>
        <w:spacing w:before="0" w:after="120" w:line="360" w:lineRule="auto"/>
        <w:rPr>
          <w:rFonts w:ascii="Arial" w:hAnsi="Arial" w:cs="Arial"/>
          <w:color w:val="auto"/>
          <w:sz w:val="22"/>
          <w:szCs w:val="22"/>
        </w:rPr>
      </w:pPr>
      <w:r w:rsidRPr="006F3822">
        <w:rPr>
          <w:rFonts w:ascii="Arial" w:hAnsi="Arial" w:cs="Arial"/>
          <w:color w:val="auto"/>
          <w:sz w:val="22"/>
          <w:szCs w:val="22"/>
        </w:rPr>
        <w:tab/>
        <w:t>4.</w:t>
      </w:r>
      <w:r w:rsidRPr="006F3822">
        <w:rPr>
          <w:rFonts w:ascii="Arial" w:hAnsi="Arial" w:cs="Arial"/>
          <w:color w:val="auto"/>
          <w:sz w:val="22"/>
          <w:szCs w:val="22"/>
        </w:rPr>
        <w:tab/>
        <w:t xml:space="preserve">The actuarial loss is reported in net income under ASPE and should be reported in OCI under </w:t>
      </w:r>
      <w:r w:rsidR="007F2533">
        <w:rPr>
          <w:rFonts w:ascii="Arial" w:hAnsi="Arial" w:cs="Arial"/>
          <w:color w:val="auto"/>
          <w:sz w:val="22"/>
          <w:szCs w:val="22"/>
        </w:rPr>
        <w:t>IFRS</w:t>
      </w:r>
      <w:r w:rsidRPr="006F3822">
        <w:rPr>
          <w:rFonts w:ascii="Arial" w:hAnsi="Arial" w:cs="Arial"/>
          <w:color w:val="auto"/>
          <w:sz w:val="22"/>
          <w:szCs w:val="22"/>
        </w:rPr>
        <w:t xml:space="preserve">. </w:t>
      </w:r>
    </w:p>
    <w:p w14:paraId="5E441D43" w14:textId="77777777" w:rsidR="007C1783" w:rsidRPr="006F3822" w:rsidRDefault="007C1783" w:rsidP="006F3822">
      <w:pPr>
        <w:pStyle w:val="bcepqln"/>
        <w:widowControl/>
        <w:spacing w:before="0" w:after="120" w:line="360" w:lineRule="auto"/>
        <w:rPr>
          <w:rFonts w:ascii="Arial" w:hAnsi="Arial" w:cs="Arial"/>
          <w:color w:val="auto"/>
          <w:sz w:val="22"/>
          <w:szCs w:val="22"/>
        </w:rPr>
      </w:pPr>
      <w:r w:rsidRPr="006F3822">
        <w:rPr>
          <w:rFonts w:ascii="Arial" w:hAnsi="Arial" w:cs="Arial"/>
          <w:color w:val="auto"/>
          <w:sz w:val="22"/>
          <w:szCs w:val="22"/>
        </w:rPr>
        <w:t xml:space="preserve">  5.  Since net income and OCI both end up in shareholders' equity, there is no change to shareholders' equity when converting from ASPE to </w:t>
      </w:r>
      <w:r w:rsidR="007F2533">
        <w:rPr>
          <w:rFonts w:ascii="Arial" w:hAnsi="Arial" w:cs="Arial"/>
          <w:color w:val="auto"/>
          <w:sz w:val="22"/>
          <w:szCs w:val="22"/>
        </w:rPr>
        <w:t>IFRS</w:t>
      </w:r>
      <w:r w:rsidRPr="006F3822">
        <w:rPr>
          <w:rFonts w:ascii="Arial" w:hAnsi="Arial" w:cs="Arial"/>
          <w:color w:val="auto"/>
          <w:sz w:val="22"/>
          <w:szCs w:val="22"/>
        </w:rPr>
        <w:t>.</w:t>
      </w:r>
    </w:p>
    <w:p w14:paraId="5E441D44" w14:textId="77777777" w:rsidR="007C1783" w:rsidRPr="006F3822" w:rsidRDefault="007C1783" w:rsidP="006F3822">
      <w:pPr>
        <w:pStyle w:val="bcepqln"/>
        <w:widowControl/>
        <w:tabs>
          <w:tab w:val="clear" w:pos="250"/>
          <w:tab w:val="clear" w:pos="480"/>
        </w:tabs>
        <w:spacing w:before="0" w:after="120" w:line="360" w:lineRule="auto"/>
        <w:ind w:left="360" w:hanging="360"/>
        <w:rPr>
          <w:rFonts w:ascii="Arial" w:hAnsi="Arial" w:cs="Arial"/>
          <w:color w:val="auto"/>
          <w:sz w:val="22"/>
          <w:szCs w:val="22"/>
        </w:rPr>
      </w:pPr>
      <w:r w:rsidRPr="006F3822">
        <w:rPr>
          <w:rFonts w:ascii="Arial" w:hAnsi="Arial" w:cs="Arial"/>
          <w:color w:val="auto"/>
          <w:sz w:val="22"/>
          <w:szCs w:val="22"/>
        </w:rPr>
        <w:t>(b)</w:t>
      </w:r>
      <w:r w:rsidRPr="006F3822">
        <w:rPr>
          <w:rFonts w:ascii="Arial" w:hAnsi="Arial" w:cs="Arial"/>
          <w:color w:val="auto"/>
          <w:sz w:val="22"/>
          <w:szCs w:val="22"/>
        </w:rPr>
        <w:tab/>
        <w:t xml:space="preserve">The current ratio did not change, which means that liquidity remains the same under </w:t>
      </w:r>
      <w:r w:rsidR="007F2533">
        <w:rPr>
          <w:rFonts w:ascii="Arial" w:hAnsi="Arial" w:cs="Arial"/>
          <w:color w:val="auto"/>
          <w:sz w:val="22"/>
          <w:szCs w:val="22"/>
        </w:rPr>
        <w:t>IFRS</w:t>
      </w:r>
      <w:r w:rsidRPr="006F3822">
        <w:rPr>
          <w:rFonts w:ascii="Arial" w:hAnsi="Arial" w:cs="Arial"/>
          <w:color w:val="auto"/>
          <w:sz w:val="22"/>
          <w:szCs w:val="22"/>
        </w:rPr>
        <w:t xml:space="preserve">. The debt-to-equity ratio decreased, which means that solvency looks better under </w:t>
      </w:r>
      <w:r w:rsidR="007F2533">
        <w:rPr>
          <w:rFonts w:ascii="Arial" w:hAnsi="Arial" w:cs="Arial"/>
          <w:color w:val="auto"/>
          <w:sz w:val="22"/>
          <w:szCs w:val="22"/>
        </w:rPr>
        <w:t>IFRS</w:t>
      </w:r>
      <w:r w:rsidRPr="006F3822">
        <w:rPr>
          <w:rFonts w:ascii="Arial" w:hAnsi="Arial" w:cs="Arial"/>
          <w:color w:val="auto"/>
          <w:sz w:val="22"/>
          <w:szCs w:val="22"/>
        </w:rPr>
        <w:t xml:space="preserve">. The return on total equity increased, which makes profitability look better under </w:t>
      </w:r>
      <w:r w:rsidR="007F2533">
        <w:rPr>
          <w:rFonts w:ascii="Arial" w:hAnsi="Arial" w:cs="Arial"/>
          <w:color w:val="auto"/>
          <w:sz w:val="22"/>
          <w:szCs w:val="22"/>
        </w:rPr>
        <w:t>IFRS</w:t>
      </w:r>
      <w:r w:rsidRPr="006F3822">
        <w:rPr>
          <w:rFonts w:ascii="Arial" w:hAnsi="Arial" w:cs="Arial"/>
          <w:color w:val="auto"/>
          <w:sz w:val="22"/>
          <w:szCs w:val="22"/>
        </w:rPr>
        <w:t>.</w:t>
      </w:r>
    </w:p>
    <w:p w14:paraId="5E441D45" w14:textId="77777777" w:rsidR="007C1783" w:rsidRPr="00CC2529" w:rsidRDefault="007C1783" w:rsidP="007C1783">
      <w:pPr>
        <w:pStyle w:val="bcepqhaa"/>
        <w:keepNext w:val="0"/>
        <w:widowControl/>
        <w:spacing w:before="0" w:after="120" w:line="240" w:lineRule="auto"/>
        <w:rPr>
          <w:rFonts w:ascii="Times New Roman" w:hAnsi="Times New Roman" w:cs="Times New Roman"/>
          <w:color w:val="auto"/>
          <w:sz w:val="20"/>
          <w:szCs w:val="20"/>
        </w:rPr>
      </w:pPr>
    </w:p>
    <w:p w14:paraId="5E441D46" w14:textId="77777777" w:rsidR="00D309EE" w:rsidRPr="006F3822" w:rsidRDefault="00D309EE" w:rsidP="00D309EE">
      <w:pPr>
        <w:pStyle w:val="BodyTextIndent3"/>
        <w:tabs>
          <w:tab w:val="left" w:pos="540"/>
          <w:tab w:val="left" w:pos="630"/>
          <w:tab w:val="left" w:pos="720"/>
          <w:tab w:val="left" w:pos="1800"/>
        </w:tabs>
        <w:ind w:left="930"/>
        <w:rPr>
          <w:rFonts w:cs="Arial"/>
          <w:b/>
          <w:bCs/>
          <w:sz w:val="28"/>
        </w:rPr>
      </w:pPr>
      <w:r w:rsidRPr="006F3822">
        <w:rPr>
          <w:rFonts w:cs="Arial"/>
          <w:b/>
          <w:bCs/>
          <w:sz w:val="28"/>
        </w:rPr>
        <w:t>Problem 1-6</w:t>
      </w:r>
    </w:p>
    <w:p w14:paraId="5E441D47" w14:textId="77777777" w:rsidR="00D309EE" w:rsidRPr="00606153" w:rsidRDefault="00D309EE" w:rsidP="00D309EE">
      <w:pPr>
        <w:pStyle w:val="BodyTextIndent3"/>
        <w:tabs>
          <w:tab w:val="left" w:pos="540"/>
          <w:tab w:val="left" w:pos="630"/>
          <w:tab w:val="left" w:pos="720"/>
          <w:tab w:val="left" w:pos="1800"/>
        </w:tabs>
        <w:ind w:left="930"/>
        <w:rPr>
          <w:rFonts w:cs="Arial"/>
          <w:b/>
          <w:bCs/>
          <w:szCs w:val="22"/>
        </w:rPr>
      </w:pPr>
    </w:p>
    <w:p w14:paraId="5E441D48" w14:textId="77777777" w:rsidR="00D309EE" w:rsidRPr="00606153" w:rsidRDefault="00D309EE" w:rsidP="00D7700F">
      <w:pPr>
        <w:pStyle w:val="bcepqlafirst"/>
        <w:widowControl/>
        <w:numPr>
          <w:ilvl w:val="0"/>
          <w:numId w:val="58"/>
        </w:numPr>
        <w:tabs>
          <w:tab w:val="clear" w:pos="220"/>
          <w:tab w:val="clear" w:pos="360"/>
        </w:tabs>
        <w:spacing w:before="0" w:after="120" w:line="240" w:lineRule="auto"/>
        <w:rPr>
          <w:rFonts w:ascii="Arial" w:hAnsi="Arial" w:cs="Arial"/>
          <w:color w:val="auto"/>
          <w:sz w:val="22"/>
          <w:szCs w:val="22"/>
        </w:rPr>
      </w:pPr>
      <w:r w:rsidRPr="00606153">
        <w:rPr>
          <w:rFonts w:ascii="Arial" w:hAnsi="Arial" w:cs="Arial"/>
          <w:color w:val="auto"/>
          <w:sz w:val="22"/>
          <w:szCs w:val="22"/>
        </w:rPr>
        <w:t xml:space="preserve">Maurice Ltd. Reconciliation from </w:t>
      </w:r>
      <w:r w:rsidR="007F2533">
        <w:rPr>
          <w:rFonts w:ascii="Arial" w:hAnsi="Arial" w:cs="Arial"/>
          <w:color w:val="auto"/>
          <w:sz w:val="22"/>
          <w:szCs w:val="22"/>
        </w:rPr>
        <w:t>IFRS</w:t>
      </w:r>
      <w:r w:rsidRPr="00606153">
        <w:rPr>
          <w:rFonts w:ascii="Arial" w:hAnsi="Arial" w:cs="Arial"/>
          <w:color w:val="auto"/>
          <w:sz w:val="22"/>
          <w:szCs w:val="22"/>
        </w:rPr>
        <w:t xml:space="preserve"> to ASPE:</w:t>
      </w:r>
    </w:p>
    <w:tbl>
      <w:tblPr>
        <w:tblW w:w="9208" w:type="dxa"/>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710"/>
        <w:gridCol w:w="1233"/>
        <w:gridCol w:w="1385"/>
        <w:gridCol w:w="1436"/>
        <w:gridCol w:w="1159"/>
        <w:gridCol w:w="1285"/>
      </w:tblGrid>
      <w:tr w:rsidR="00D309EE" w:rsidRPr="00606153" w14:paraId="5E441D4F" w14:textId="77777777" w:rsidTr="00855A37">
        <w:trPr>
          <w:trHeight w:val="23"/>
        </w:trPr>
        <w:tc>
          <w:tcPr>
            <w:tcW w:w="2710" w:type="dxa"/>
            <w:shd w:val="clear" w:color="auto" w:fill="auto"/>
            <w:vAlign w:val="bottom"/>
          </w:tcPr>
          <w:p w14:paraId="5E441D49" w14:textId="77777777" w:rsidR="00D309EE" w:rsidRPr="00606153" w:rsidRDefault="00D309EE" w:rsidP="00855A37">
            <w:pPr>
              <w:pStyle w:val="bcepqtbsha"/>
              <w:widowControl/>
              <w:spacing w:after="120" w:line="240" w:lineRule="auto"/>
              <w:jc w:val="both"/>
              <w:rPr>
                <w:rFonts w:ascii="Arial" w:hAnsi="Arial" w:cs="Arial"/>
                <w:color w:val="auto"/>
                <w:sz w:val="22"/>
                <w:szCs w:val="22"/>
              </w:rPr>
            </w:pPr>
            <w:r w:rsidRPr="00606153">
              <w:rPr>
                <w:rFonts w:ascii="Arial" w:hAnsi="Arial" w:cs="Arial"/>
                <w:color w:val="auto"/>
                <w:sz w:val="22"/>
                <w:szCs w:val="22"/>
              </w:rPr>
              <w:t>Description</w:t>
            </w:r>
          </w:p>
        </w:tc>
        <w:tc>
          <w:tcPr>
            <w:tcW w:w="1233"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D4A" w14:textId="77777777" w:rsidR="00D309EE" w:rsidRPr="00606153" w:rsidRDefault="00D309EE" w:rsidP="00855A37">
            <w:pPr>
              <w:pStyle w:val="bcepqtbsha"/>
              <w:widowControl/>
              <w:spacing w:after="120" w:line="240" w:lineRule="auto"/>
              <w:ind w:left="80"/>
              <w:rPr>
                <w:rFonts w:ascii="Arial" w:hAnsi="Arial" w:cs="Arial"/>
                <w:color w:val="auto"/>
                <w:sz w:val="22"/>
                <w:szCs w:val="22"/>
              </w:rPr>
            </w:pPr>
            <w:r w:rsidRPr="00606153">
              <w:rPr>
                <w:rFonts w:ascii="Arial" w:hAnsi="Arial" w:cs="Arial"/>
                <w:color w:val="auto"/>
                <w:sz w:val="22"/>
                <w:szCs w:val="22"/>
              </w:rPr>
              <w:t>Net Income</w:t>
            </w:r>
          </w:p>
        </w:tc>
        <w:tc>
          <w:tcPr>
            <w:tcW w:w="1385"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D4B" w14:textId="77777777" w:rsidR="00D309EE" w:rsidRPr="00606153" w:rsidRDefault="00D309EE" w:rsidP="00855A37">
            <w:pPr>
              <w:pStyle w:val="bcepqtbsha"/>
              <w:widowControl/>
              <w:spacing w:after="120" w:line="240" w:lineRule="auto"/>
              <w:rPr>
                <w:rFonts w:ascii="Arial" w:hAnsi="Arial" w:cs="Arial"/>
                <w:color w:val="auto"/>
                <w:sz w:val="22"/>
                <w:szCs w:val="22"/>
              </w:rPr>
            </w:pPr>
            <w:r w:rsidRPr="00606153">
              <w:rPr>
                <w:rFonts w:ascii="Arial" w:hAnsi="Arial" w:cs="Arial"/>
                <w:color w:val="auto"/>
                <w:sz w:val="22"/>
                <w:szCs w:val="22"/>
              </w:rPr>
              <w:t>Current Assets</w:t>
            </w:r>
          </w:p>
        </w:tc>
        <w:tc>
          <w:tcPr>
            <w:tcW w:w="1436"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D4C" w14:textId="77777777" w:rsidR="00D309EE" w:rsidRPr="00606153" w:rsidRDefault="00D309EE" w:rsidP="00855A37">
            <w:pPr>
              <w:pStyle w:val="bcepqtbsha"/>
              <w:widowControl/>
              <w:spacing w:after="120" w:line="240" w:lineRule="auto"/>
              <w:rPr>
                <w:rFonts w:ascii="Arial" w:hAnsi="Arial" w:cs="Arial"/>
                <w:color w:val="auto"/>
                <w:sz w:val="22"/>
                <w:szCs w:val="22"/>
              </w:rPr>
            </w:pPr>
            <w:r w:rsidRPr="00606153">
              <w:rPr>
                <w:rFonts w:ascii="Arial" w:hAnsi="Arial" w:cs="Arial"/>
                <w:color w:val="auto"/>
                <w:sz w:val="22"/>
                <w:szCs w:val="22"/>
              </w:rPr>
              <w:t>Current Liabilities</w:t>
            </w:r>
          </w:p>
        </w:tc>
        <w:tc>
          <w:tcPr>
            <w:tcW w:w="1159"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D4D" w14:textId="77777777" w:rsidR="00D309EE" w:rsidRPr="00606153" w:rsidRDefault="00D309EE" w:rsidP="00855A37">
            <w:pPr>
              <w:pStyle w:val="bcepqtbsha"/>
              <w:widowControl/>
              <w:spacing w:after="120" w:line="240" w:lineRule="auto"/>
              <w:rPr>
                <w:rFonts w:ascii="Arial" w:hAnsi="Arial" w:cs="Arial"/>
                <w:color w:val="auto"/>
                <w:sz w:val="22"/>
                <w:szCs w:val="22"/>
              </w:rPr>
            </w:pPr>
            <w:r w:rsidRPr="00606153">
              <w:rPr>
                <w:rFonts w:ascii="Arial" w:hAnsi="Arial" w:cs="Arial"/>
                <w:color w:val="auto"/>
                <w:sz w:val="22"/>
                <w:szCs w:val="22"/>
              </w:rPr>
              <w:t>Debt</w:t>
            </w:r>
          </w:p>
        </w:tc>
        <w:tc>
          <w:tcPr>
            <w:tcW w:w="1285"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5E441D4E" w14:textId="77777777" w:rsidR="00D309EE" w:rsidRPr="00606153" w:rsidRDefault="00D309EE" w:rsidP="00855A37">
            <w:pPr>
              <w:pStyle w:val="bcepqtbsha"/>
              <w:widowControl/>
              <w:spacing w:after="120" w:line="240" w:lineRule="auto"/>
              <w:rPr>
                <w:rFonts w:ascii="Arial" w:hAnsi="Arial" w:cs="Arial"/>
                <w:color w:val="auto"/>
                <w:sz w:val="22"/>
                <w:szCs w:val="22"/>
              </w:rPr>
            </w:pPr>
            <w:r w:rsidRPr="00606153">
              <w:rPr>
                <w:rFonts w:ascii="Arial" w:hAnsi="Arial" w:cs="Arial"/>
                <w:color w:val="auto"/>
                <w:sz w:val="22"/>
                <w:szCs w:val="22"/>
              </w:rPr>
              <w:t>Equity</w:t>
            </w:r>
          </w:p>
        </w:tc>
      </w:tr>
      <w:tr w:rsidR="00D309EE" w:rsidRPr="00606153" w14:paraId="5E441D56" w14:textId="77777777" w:rsidTr="00855A37">
        <w:trPr>
          <w:trHeight w:val="23"/>
        </w:trPr>
        <w:tc>
          <w:tcPr>
            <w:tcW w:w="2710" w:type="dxa"/>
            <w:shd w:val="clear" w:color="auto" w:fill="auto"/>
          </w:tcPr>
          <w:p w14:paraId="5E441D50" w14:textId="77777777"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 xml:space="preserve">Per </w:t>
            </w:r>
            <w:r w:rsidR="007F2533">
              <w:rPr>
                <w:rFonts w:ascii="Arial" w:hAnsi="Arial" w:cs="Arial"/>
                <w:color w:val="auto"/>
                <w:sz w:val="22"/>
                <w:szCs w:val="22"/>
              </w:rPr>
              <w:t>IFRS</w:t>
            </w:r>
          </w:p>
        </w:tc>
        <w:tc>
          <w:tcPr>
            <w:tcW w:w="1233" w:type="dxa"/>
            <w:tcBorders>
              <w:top w:val="single" w:sz="4" w:space="0" w:color="auto"/>
            </w:tcBorders>
            <w:shd w:val="clear" w:color="auto" w:fill="auto"/>
          </w:tcPr>
          <w:p w14:paraId="5E441D51"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$3,000</w:t>
            </w:r>
          </w:p>
        </w:tc>
        <w:tc>
          <w:tcPr>
            <w:tcW w:w="1385" w:type="dxa"/>
            <w:tcBorders>
              <w:top w:val="single" w:sz="4" w:space="0" w:color="auto"/>
            </w:tcBorders>
            <w:shd w:val="clear" w:color="auto" w:fill="auto"/>
          </w:tcPr>
          <w:p w14:paraId="5E441D52"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$13,600</w:t>
            </w:r>
          </w:p>
        </w:tc>
        <w:tc>
          <w:tcPr>
            <w:tcW w:w="1436" w:type="dxa"/>
            <w:tcBorders>
              <w:top w:val="single" w:sz="4" w:space="0" w:color="auto"/>
            </w:tcBorders>
            <w:shd w:val="clear" w:color="auto" w:fill="auto"/>
            <w:tcMar>
              <w:top w:w="0" w:type="dxa"/>
              <w:left w:w="108" w:type="dxa"/>
              <w:bottom w:w="0" w:type="dxa"/>
              <w:right w:w="108" w:type="dxa"/>
            </w:tcMar>
          </w:tcPr>
          <w:p w14:paraId="5E441D53"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$10,700</w:t>
            </w:r>
          </w:p>
        </w:tc>
        <w:tc>
          <w:tcPr>
            <w:tcW w:w="1159" w:type="dxa"/>
            <w:tcBorders>
              <w:top w:val="single" w:sz="4" w:space="0" w:color="auto"/>
            </w:tcBorders>
            <w:shd w:val="clear" w:color="auto" w:fill="auto"/>
            <w:tcMar>
              <w:top w:w="0" w:type="dxa"/>
              <w:left w:w="108" w:type="dxa"/>
              <w:bottom w:w="0" w:type="dxa"/>
              <w:right w:w="108" w:type="dxa"/>
            </w:tcMar>
          </w:tcPr>
          <w:p w14:paraId="5E441D54"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$25,200</w:t>
            </w:r>
          </w:p>
        </w:tc>
        <w:tc>
          <w:tcPr>
            <w:tcW w:w="1285" w:type="dxa"/>
            <w:tcBorders>
              <w:top w:val="single" w:sz="4" w:space="0" w:color="auto"/>
            </w:tcBorders>
            <w:shd w:val="clear" w:color="auto" w:fill="auto"/>
            <w:tcMar>
              <w:top w:w="0" w:type="dxa"/>
              <w:left w:w="108" w:type="dxa"/>
              <w:bottom w:w="0" w:type="dxa"/>
              <w:right w:w="108" w:type="dxa"/>
            </w:tcMar>
          </w:tcPr>
          <w:p w14:paraId="5E441D55"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$21,500</w:t>
            </w:r>
          </w:p>
        </w:tc>
      </w:tr>
      <w:tr w:rsidR="00D309EE" w:rsidRPr="00606153" w14:paraId="5E441D5D" w14:textId="77777777" w:rsidTr="00855A37">
        <w:trPr>
          <w:trHeight w:val="23"/>
        </w:trPr>
        <w:tc>
          <w:tcPr>
            <w:tcW w:w="2710" w:type="dxa"/>
            <w:shd w:val="clear" w:color="auto" w:fill="auto"/>
          </w:tcPr>
          <w:p w14:paraId="5E441D57" w14:textId="77777777"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Depreciation expense</w:t>
            </w:r>
          </w:p>
        </w:tc>
        <w:tc>
          <w:tcPr>
            <w:tcW w:w="1233" w:type="dxa"/>
            <w:shd w:val="clear" w:color="auto" w:fill="auto"/>
          </w:tcPr>
          <w:p w14:paraId="5E441D58"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115</w:t>
            </w:r>
            <w:r w:rsidRPr="00606153">
              <w:rPr>
                <w:rFonts w:ascii="Arial" w:hAnsi="Arial" w:cs="Arial"/>
                <w:color w:val="auto"/>
                <w:sz w:val="22"/>
                <w:szCs w:val="22"/>
                <w:vertAlign w:val="superscript"/>
              </w:rPr>
              <w:t>1a</w:t>
            </w:r>
          </w:p>
        </w:tc>
        <w:tc>
          <w:tcPr>
            <w:tcW w:w="1385" w:type="dxa"/>
            <w:shd w:val="clear" w:color="auto" w:fill="auto"/>
          </w:tcPr>
          <w:p w14:paraId="5E441D59" w14:textId="77777777"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436" w:type="dxa"/>
            <w:shd w:val="clear" w:color="auto" w:fill="auto"/>
            <w:tcMar>
              <w:top w:w="0" w:type="dxa"/>
              <w:left w:w="108" w:type="dxa"/>
              <w:bottom w:w="0" w:type="dxa"/>
              <w:right w:w="108" w:type="dxa"/>
            </w:tcMar>
          </w:tcPr>
          <w:p w14:paraId="5E441D5A"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159" w:type="dxa"/>
            <w:shd w:val="clear" w:color="auto" w:fill="auto"/>
            <w:tcMar>
              <w:top w:w="0" w:type="dxa"/>
              <w:left w:w="108" w:type="dxa"/>
              <w:bottom w:w="0" w:type="dxa"/>
              <w:right w:w="108" w:type="dxa"/>
            </w:tcMar>
          </w:tcPr>
          <w:p w14:paraId="5E441D5B"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285" w:type="dxa"/>
            <w:shd w:val="clear" w:color="auto" w:fill="auto"/>
            <w:tcMar>
              <w:top w:w="0" w:type="dxa"/>
              <w:left w:w="108" w:type="dxa"/>
              <w:bottom w:w="0" w:type="dxa"/>
              <w:right w:w="108" w:type="dxa"/>
            </w:tcMar>
          </w:tcPr>
          <w:p w14:paraId="5E441D5C"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115</w:t>
            </w:r>
            <w:r w:rsidRPr="00606153">
              <w:rPr>
                <w:rFonts w:ascii="Arial" w:hAnsi="Arial" w:cs="Arial"/>
                <w:color w:val="auto"/>
                <w:sz w:val="22"/>
                <w:szCs w:val="22"/>
                <w:vertAlign w:val="superscript"/>
              </w:rPr>
              <w:t>1b</w:t>
            </w:r>
          </w:p>
        </w:tc>
      </w:tr>
      <w:tr w:rsidR="00D309EE" w:rsidRPr="00606153" w14:paraId="5E441D65" w14:textId="77777777" w:rsidTr="00855A37">
        <w:trPr>
          <w:trHeight w:val="23"/>
        </w:trPr>
        <w:tc>
          <w:tcPr>
            <w:tcW w:w="2710" w:type="dxa"/>
            <w:shd w:val="clear" w:color="auto" w:fill="auto"/>
          </w:tcPr>
          <w:p w14:paraId="5E441D5E" w14:textId="77777777" w:rsidR="00D309EE" w:rsidRPr="00606153" w:rsidRDefault="00D309EE" w:rsidP="00855A37">
            <w:pPr>
              <w:pStyle w:val="bcepqtbtx"/>
              <w:widowControl/>
              <w:spacing w:after="120" w:line="240" w:lineRule="auto"/>
              <w:rPr>
                <w:rFonts w:ascii="Arial" w:hAnsi="Arial" w:cs="Arial"/>
                <w:color w:val="auto"/>
                <w:sz w:val="22"/>
                <w:szCs w:val="22"/>
              </w:rPr>
            </w:pPr>
            <w:r w:rsidRPr="00606153">
              <w:rPr>
                <w:rFonts w:ascii="Arial" w:hAnsi="Arial" w:cs="Arial"/>
                <w:color w:val="auto"/>
                <w:sz w:val="22"/>
                <w:szCs w:val="22"/>
              </w:rPr>
              <w:t xml:space="preserve">Impairment loss &amp; </w:t>
            </w:r>
          </w:p>
          <w:p w14:paraId="5E441D5F" w14:textId="77777777" w:rsidR="00D309EE" w:rsidRPr="00606153" w:rsidRDefault="00D309EE" w:rsidP="00855A37">
            <w:pPr>
              <w:pStyle w:val="bcepqtbtx"/>
              <w:widowControl/>
              <w:spacing w:after="120" w:line="240" w:lineRule="auto"/>
              <w:rPr>
                <w:rFonts w:ascii="Arial" w:hAnsi="Arial" w:cs="Arial"/>
                <w:color w:val="auto"/>
                <w:sz w:val="22"/>
                <w:szCs w:val="22"/>
              </w:rPr>
            </w:pPr>
            <w:r w:rsidRPr="00606153">
              <w:rPr>
                <w:rFonts w:ascii="Arial" w:hAnsi="Arial" w:cs="Arial"/>
                <w:color w:val="auto"/>
                <w:sz w:val="22"/>
                <w:szCs w:val="22"/>
              </w:rPr>
              <w:t xml:space="preserve">   recovery</w:t>
            </w:r>
          </w:p>
        </w:tc>
        <w:tc>
          <w:tcPr>
            <w:tcW w:w="1233" w:type="dxa"/>
            <w:shd w:val="clear" w:color="auto" w:fill="auto"/>
          </w:tcPr>
          <w:p w14:paraId="5E441D60"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(300)</w:t>
            </w:r>
            <w:r w:rsidRPr="00606153">
              <w:rPr>
                <w:rFonts w:ascii="Arial" w:hAnsi="Arial" w:cs="Arial"/>
                <w:color w:val="auto"/>
                <w:sz w:val="22"/>
                <w:szCs w:val="22"/>
                <w:vertAlign w:val="superscript"/>
              </w:rPr>
              <w:t>1c</w:t>
            </w:r>
          </w:p>
        </w:tc>
        <w:tc>
          <w:tcPr>
            <w:tcW w:w="1385" w:type="dxa"/>
            <w:shd w:val="clear" w:color="auto" w:fill="auto"/>
          </w:tcPr>
          <w:p w14:paraId="5E441D61" w14:textId="77777777"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436" w:type="dxa"/>
            <w:shd w:val="clear" w:color="auto" w:fill="auto"/>
            <w:tcMar>
              <w:top w:w="0" w:type="dxa"/>
              <w:left w:w="108" w:type="dxa"/>
              <w:bottom w:w="0" w:type="dxa"/>
              <w:right w:w="108" w:type="dxa"/>
            </w:tcMar>
          </w:tcPr>
          <w:p w14:paraId="5E441D62"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159" w:type="dxa"/>
            <w:shd w:val="clear" w:color="auto" w:fill="auto"/>
            <w:tcMar>
              <w:top w:w="0" w:type="dxa"/>
              <w:left w:w="108" w:type="dxa"/>
              <w:bottom w:w="0" w:type="dxa"/>
              <w:right w:w="108" w:type="dxa"/>
            </w:tcMar>
          </w:tcPr>
          <w:p w14:paraId="5E441D63"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285" w:type="dxa"/>
            <w:shd w:val="clear" w:color="auto" w:fill="auto"/>
            <w:tcMar>
              <w:top w:w="0" w:type="dxa"/>
              <w:left w:w="108" w:type="dxa"/>
              <w:bottom w:w="0" w:type="dxa"/>
              <w:right w:w="108" w:type="dxa"/>
            </w:tcMar>
          </w:tcPr>
          <w:p w14:paraId="5E441D64"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(1,500)</w:t>
            </w:r>
            <w:r w:rsidRPr="00606153">
              <w:rPr>
                <w:rFonts w:ascii="Arial" w:hAnsi="Arial" w:cs="Arial"/>
                <w:color w:val="auto"/>
                <w:sz w:val="22"/>
                <w:szCs w:val="22"/>
                <w:vertAlign w:val="superscript"/>
              </w:rPr>
              <w:t>1d</w:t>
            </w:r>
          </w:p>
        </w:tc>
      </w:tr>
      <w:tr w:rsidR="00D309EE" w:rsidRPr="00606153" w14:paraId="5E441D6C" w14:textId="77777777" w:rsidTr="00855A37">
        <w:trPr>
          <w:trHeight w:val="23"/>
        </w:trPr>
        <w:tc>
          <w:tcPr>
            <w:tcW w:w="2710" w:type="dxa"/>
            <w:shd w:val="clear" w:color="auto" w:fill="auto"/>
          </w:tcPr>
          <w:p w14:paraId="5E441D66" w14:textId="77777777"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Convertible bonds</w:t>
            </w:r>
          </w:p>
        </w:tc>
        <w:tc>
          <w:tcPr>
            <w:tcW w:w="1233" w:type="dxa"/>
            <w:shd w:val="clear" w:color="auto" w:fill="auto"/>
          </w:tcPr>
          <w:p w14:paraId="5E441D67"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56</w:t>
            </w:r>
            <w:r w:rsidRPr="00606153">
              <w:rPr>
                <w:rFonts w:ascii="Arial" w:hAnsi="Arial" w:cs="Arial"/>
                <w:color w:val="auto"/>
                <w:sz w:val="22"/>
                <w:szCs w:val="22"/>
                <w:vertAlign w:val="superscript"/>
              </w:rPr>
              <w:t>2a</w:t>
            </w:r>
          </w:p>
        </w:tc>
        <w:tc>
          <w:tcPr>
            <w:tcW w:w="1385" w:type="dxa"/>
            <w:shd w:val="clear" w:color="auto" w:fill="auto"/>
          </w:tcPr>
          <w:p w14:paraId="5E441D68"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p>
        </w:tc>
        <w:tc>
          <w:tcPr>
            <w:tcW w:w="1436" w:type="dxa"/>
            <w:shd w:val="clear" w:color="auto" w:fill="auto"/>
            <w:tcMar>
              <w:top w:w="0" w:type="dxa"/>
              <w:left w:w="108" w:type="dxa"/>
              <w:bottom w:w="0" w:type="dxa"/>
              <w:right w:w="108" w:type="dxa"/>
            </w:tcMar>
          </w:tcPr>
          <w:p w14:paraId="5E441D69" w14:textId="77777777"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b/>
                <w:color w:val="auto"/>
                <w:sz w:val="22"/>
                <w:szCs w:val="22"/>
              </w:rPr>
            </w:pPr>
          </w:p>
        </w:tc>
        <w:tc>
          <w:tcPr>
            <w:tcW w:w="1159" w:type="dxa"/>
            <w:shd w:val="clear" w:color="auto" w:fill="auto"/>
            <w:tcMar>
              <w:top w:w="0" w:type="dxa"/>
              <w:left w:w="108" w:type="dxa"/>
              <w:bottom w:w="0" w:type="dxa"/>
              <w:right w:w="108" w:type="dxa"/>
            </w:tcMar>
          </w:tcPr>
          <w:p w14:paraId="5E441D6A" w14:textId="77777777"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color w:val="auto"/>
                <w:sz w:val="22"/>
                <w:szCs w:val="22"/>
              </w:rPr>
            </w:pPr>
            <w:r w:rsidRPr="00606153">
              <w:rPr>
                <w:rFonts w:ascii="Arial" w:hAnsi="Arial" w:cs="Arial"/>
                <w:color w:val="auto"/>
                <w:sz w:val="22"/>
                <w:szCs w:val="22"/>
              </w:rPr>
              <w:t>789</w:t>
            </w:r>
            <w:r w:rsidRPr="00606153">
              <w:rPr>
                <w:rFonts w:ascii="Arial" w:hAnsi="Arial" w:cs="Arial"/>
                <w:color w:val="auto"/>
                <w:sz w:val="22"/>
                <w:szCs w:val="22"/>
                <w:vertAlign w:val="superscript"/>
                <w:lang w:eastAsia="en-IN" w:bidi="he-IL"/>
              </w:rPr>
              <w:t>2b</w:t>
            </w:r>
          </w:p>
        </w:tc>
        <w:tc>
          <w:tcPr>
            <w:tcW w:w="1285" w:type="dxa"/>
            <w:shd w:val="clear" w:color="auto" w:fill="auto"/>
            <w:tcMar>
              <w:top w:w="0" w:type="dxa"/>
              <w:left w:w="108" w:type="dxa"/>
              <w:bottom w:w="0" w:type="dxa"/>
              <w:right w:w="108" w:type="dxa"/>
            </w:tcMar>
          </w:tcPr>
          <w:p w14:paraId="5E441D6B"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(789)</w:t>
            </w:r>
            <w:r w:rsidRPr="00606153">
              <w:rPr>
                <w:rFonts w:ascii="Arial" w:hAnsi="Arial" w:cs="Arial"/>
                <w:color w:val="auto"/>
                <w:sz w:val="22"/>
                <w:szCs w:val="22"/>
                <w:vertAlign w:val="superscript"/>
              </w:rPr>
              <w:t>2c</w:t>
            </w:r>
          </w:p>
        </w:tc>
      </w:tr>
      <w:tr w:rsidR="00D309EE" w:rsidRPr="00606153" w14:paraId="5E441D73" w14:textId="77777777" w:rsidTr="00855A37">
        <w:trPr>
          <w:trHeight w:val="23"/>
        </w:trPr>
        <w:tc>
          <w:tcPr>
            <w:tcW w:w="2710" w:type="dxa"/>
            <w:shd w:val="clear" w:color="auto" w:fill="auto"/>
          </w:tcPr>
          <w:p w14:paraId="5E441D6D" w14:textId="77777777"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Income taxes</w:t>
            </w:r>
          </w:p>
        </w:tc>
        <w:tc>
          <w:tcPr>
            <w:tcW w:w="1233" w:type="dxa"/>
            <w:shd w:val="clear" w:color="auto" w:fill="auto"/>
          </w:tcPr>
          <w:p w14:paraId="5E441D6E" w14:textId="5FE1BB2F"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u w:val="single"/>
              </w:rPr>
              <w:t>190</w:t>
            </w:r>
          </w:p>
        </w:tc>
        <w:tc>
          <w:tcPr>
            <w:tcW w:w="1385" w:type="dxa"/>
            <w:shd w:val="clear" w:color="auto" w:fill="auto"/>
          </w:tcPr>
          <w:p w14:paraId="5E441D6F" w14:textId="77777777"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color w:val="auto"/>
                <w:sz w:val="22"/>
                <w:szCs w:val="22"/>
                <w:u w:val="single"/>
              </w:rPr>
            </w:pPr>
            <w:r w:rsidRPr="00606153">
              <w:rPr>
                <w:rFonts w:ascii="Arial" w:hAnsi="Arial" w:cs="Arial"/>
                <w:color w:val="auto"/>
                <w:sz w:val="22"/>
                <w:szCs w:val="22"/>
                <w:u w:val="single"/>
              </w:rPr>
              <w:t>0</w:t>
            </w:r>
          </w:p>
        </w:tc>
        <w:tc>
          <w:tcPr>
            <w:tcW w:w="1436" w:type="dxa"/>
            <w:shd w:val="clear" w:color="auto" w:fill="auto"/>
            <w:tcMar>
              <w:top w:w="0" w:type="dxa"/>
              <w:left w:w="108" w:type="dxa"/>
              <w:bottom w:w="0" w:type="dxa"/>
              <w:right w:w="108" w:type="dxa"/>
            </w:tcMar>
          </w:tcPr>
          <w:p w14:paraId="5E441D70" w14:textId="77777777"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color w:val="auto"/>
                <w:sz w:val="22"/>
                <w:szCs w:val="22"/>
                <w:u w:val="single"/>
              </w:rPr>
            </w:pPr>
            <w:r w:rsidRPr="00606153">
              <w:rPr>
                <w:rFonts w:ascii="Arial" w:hAnsi="Arial" w:cs="Arial"/>
                <w:color w:val="auto"/>
                <w:sz w:val="22"/>
                <w:szCs w:val="22"/>
                <w:u w:val="single"/>
              </w:rPr>
              <w:t>0</w:t>
            </w:r>
          </w:p>
        </w:tc>
        <w:tc>
          <w:tcPr>
            <w:tcW w:w="1159" w:type="dxa"/>
            <w:shd w:val="clear" w:color="auto" w:fill="auto"/>
            <w:tcMar>
              <w:top w:w="0" w:type="dxa"/>
              <w:left w:w="108" w:type="dxa"/>
              <w:bottom w:w="0" w:type="dxa"/>
              <w:right w:w="108" w:type="dxa"/>
            </w:tcMar>
          </w:tcPr>
          <w:p w14:paraId="5E441D71" w14:textId="71D6EA3D" w:rsidR="00D309EE" w:rsidRPr="00606153" w:rsidRDefault="00D309EE" w:rsidP="00855A37">
            <w:pPr>
              <w:pStyle w:val="NoParagraphStyle"/>
              <w:widowControl/>
              <w:tabs>
                <w:tab w:val="decimal" w:pos="851"/>
              </w:tabs>
              <w:spacing w:after="120" w:line="240" w:lineRule="auto"/>
              <w:jc w:val="both"/>
              <w:textAlignment w:val="auto"/>
              <w:rPr>
                <w:rFonts w:ascii="Arial" w:hAnsi="Arial" w:cs="Arial"/>
                <w:color w:val="auto"/>
                <w:sz w:val="22"/>
                <w:szCs w:val="22"/>
              </w:rPr>
            </w:pPr>
            <w:r w:rsidRPr="00606153">
              <w:rPr>
                <w:rFonts w:ascii="Arial" w:hAnsi="Arial" w:cs="Arial"/>
                <w:color w:val="auto"/>
                <w:sz w:val="22"/>
                <w:szCs w:val="22"/>
                <w:u w:val="single"/>
              </w:rPr>
              <w:t>(4,690)</w:t>
            </w:r>
          </w:p>
        </w:tc>
        <w:tc>
          <w:tcPr>
            <w:tcW w:w="1285" w:type="dxa"/>
            <w:shd w:val="clear" w:color="auto" w:fill="auto"/>
            <w:tcMar>
              <w:top w:w="0" w:type="dxa"/>
              <w:left w:w="108" w:type="dxa"/>
              <w:bottom w:w="0" w:type="dxa"/>
              <w:right w:w="108" w:type="dxa"/>
            </w:tcMar>
          </w:tcPr>
          <w:p w14:paraId="5E441D72" w14:textId="5D81F504"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u w:val="single"/>
              </w:rPr>
              <w:t>4,690</w:t>
            </w:r>
          </w:p>
        </w:tc>
      </w:tr>
      <w:tr w:rsidR="00D309EE" w:rsidRPr="00606153" w14:paraId="5E441D7A" w14:textId="77777777" w:rsidTr="00855A37">
        <w:trPr>
          <w:trHeight w:val="23"/>
        </w:trPr>
        <w:tc>
          <w:tcPr>
            <w:tcW w:w="2710" w:type="dxa"/>
            <w:shd w:val="clear" w:color="auto" w:fill="auto"/>
          </w:tcPr>
          <w:p w14:paraId="5E441D74" w14:textId="77777777"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Per ASPE</w:t>
            </w:r>
          </w:p>
        </w:tc>
        <w:tc>
          <w:tcPr>
            <w:tcW w:w="1233" w:type="dxa"/>
            <w:shd w:val="clear" w:color="auto" w:fill="auto"/>
          </w:tcPr>
          <w:p w14:paraId="5E441D75"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3,061</w:t>
            </w:r>
          </w:p>
        </w:tc>
        <w:tc>
          <w:tcPr>
            <w:tcW w:w="1385" w:type="dxa"/>
            <w:shd w:val="clear" w:color="auto" w:fill="auto"/>
            <w:tcMar>
              <w:bottom w:w="0" w:type="dxa"/>
            </w:tcMar>
          </w:tcPr>
          <w:p w14:paraId="5E441D76"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13,600</w:t>
            </w:r>
          </w:p>
        </w:tc>
        <w:tc>
          <w:tcPr>
            <w:tcW w:w="1436" w:type="dxa"/>
            <w:shd w:val="clear" w:color="auto" w:fill="auto"/>
            <w:tcMar>
              <w:top w:w="0" w:type="dxa"/>
              <w:left w:w="108" w:type="dxa"/>
              <w:bottom w:w="0" w:type="dxa"/>
              <w:right w:w="108" w:type="dxa"/>
            </w:tcMar>
          </w:tcPr>
          <w:p w14:paraId="5E441D77"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10,700</w:t>
            </w:r>
          </w:p>
        </w:tc>
        <w:tc>
          <w:tcPr>
            <w:tcW w:w="1159" w:type="dxa"/>
            <w:shd w:val="clear" w:color="auto" w:fill="auto"/>
            <w:tcMar>
              <w:top w:w="0" w:type="dxa"/>
              <w:left w:w="108" w:type="dxa"/>
              <w:bottom w:w="0" w:type="dxa"/>
              <w:right w:w="108" w:type="dxa"/>
            </w:tcMar>
          </w:tcPr>
          <w:p w14:paraId="5E441D78"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21,299</w:t>
            </w:r>
          </w:p>
        </w:tc>
        <w:tc>
          <w:tcPr>
            <w:tcW w:w="1285" w:type="dxa"/>
            <w:shd w:val="clear" w:color="auto" w:fill="auto"/>
            <w:tcMar>
              <w:left w:w="108" w:type="dxa"/>
              <w:right w:w="108" w:type="dxa"/>
            </w:tcMar>
          </w:tcPr>
          <w:p w14:paraId="5E441D79" w14:textId="77777777" w:rsidR="00D309EE" w:rsidRPr="00606153" w:rsidRDefault="00D309EE" w:rsidP="00855A37">
            <w:pPr>
              <w:pStyle w:val="bcepqtbtx"/>
              <w:widowControl/>
              <w:tabs>
                <w:tab w:val="clear" w:pos="360"/>
                <w:tab w:val="clear" w:pos="3220"/>
                <w:tab w:val="clear" w:pos="5640"/>
                <w:tab w:val="clear" w:pos="6700"/>
                <w:tab w:val="decimal" w:pos="851"/>
              </w:tabs>
              <w:spacing w:after="120" w:line="240" w:lineRule="auto"/>
              <w:jc w:val="both"/>
              <w:rPr>
                <w:rFonts w:ascii="Arial" w:hAnsi="Arial" w:cs="Arial"/>
                <w:color w:val="auto"/>
                <w:sz w:val="22"/>
                <w:szCs w:val="22"/>
              </w:rPr>
            </w:pPr>
            <w:r w:rsidRPr="00606153">
              <w:rPr>
                <w:rFonts w:ascii="Arial" w:hAnsi="Arial" w:cs="Arial"/>
                <w:color w:val="auto"/>
                <w:sz w:val="22"/>
                <w:szCs w:val="22"/>
              </w:rPr>
              <w:t>$</w:t>
            </w:r>
            <w:r w:rsidRPr="00606153">
              <w:rPr>
                <w:rFonts w:ascii="Arial" w:hAnsi="Arial" w:cs="Arial"/>
                <w:color w:val="auto"/>
                <w:sz w:val="22"/>
                <w:szCs w:val="22"/>
                <w:u w:val="double"/>
              </w:rPr>
              <w:t>24,016</w:t>
            </w:r>
          </w:p>
        </w:tc>
      </w:tr>
    </w:tbl>
    <w:p w14:paraId="5E441D7B" w14:textId="77777777" w:rsidR="00D309EE" w:rsidRPr="00606153" w:rsidRDefault="00D309EE" w:rsidP="00D309EE">
      <w:pPr>
        <w:pStyle w:val="bcepqtbcn"/>
        <w:widowControl/>
        <w:spacing w:before="0" w:after="120" w:line="240" w:lineRule="auto"/>
        <w:jc w:val="both"/>
        <w:rPr>
          <w:rFonts w:ascii="Arial" w:hAnsi="Arial" w:cs="Arial"/>
          <w:color w:val="auto"/>
          <w:sz w:val="22"/>
          <w:szCs w:val="22"/>
        </w:rPr>
      </w:pPr>
    </w:p>
    <w:tbl>
      <w:tblPr>
        <w:tblW w:w="9072" w:type="dxa"/>
        <w:tblInd w:w="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478"/>
        <w:gridCol w:w="2223"/>
        <w:gridCol w:w="2313"/>
        <w:gridCol w:w="2058"/>
      </w:tblGrid>
      <w:tr w:rsidR="00D309EE" w:rsidRPr="00606153" w14:paraId="5E441D80" w14:textId="77777777" w:rsidTr="00855A37">
        <w:trPr>
          <w:trHeight w:val="23"/>
        </w:trPr>
        <w:tc>
          <w:tcPr>
            <w:tcW w:w="2478" w:type="dxa"/>
            <w:tcBorders>
              <w:top w:val="single" w:sz="4" w:space="0" w:color="auto"/>
              <w:bottom w:val="single" w:sz="4" w:space="0" w:color="auto"/>
            </w:tcBorders>
            <w:shd w:val="clear" w:color="auto" w:fill="auto"/>
            <w:tcMar>
              <w:top w:w="0" w:type="dxa"/>
              <w:left w:w="108" w:type="dxa"/>
              <w:bottom w:w="0" w:type="dxa"/>
              <w:right w:w="108" w:type="dxa"/>
            </w:tcMar>
          </w:tcPr>
          <w:p w14:paraId="5E441D7C" w14:textId="77777777" w:rsidR="00D309EE" w:rsidRPr="00606153" w:rsidRDefault="00D309EE" w:rsidP="00855A37">
            <w:pPr>
              <w:pStyle w:val="NoParagraphStyle"/>
              <w:widowControl/>
              <w:spacing w:after="120" w:line="240" w:lineRule="auto"/>
              <w:jc w:val="both"/>
              <w:textAlignment w:val="auto"/>
              <w:rPr>
                <w:rFonts w:ascii="Arial" w:hAnsi="Arial" w:cs="Arial"/>
                <w:b/>
                <w:color w:val="auto"/>
                <w:sz w:val="22"/>
                <w:szCs w:val="22"/>
              </w:rPr>
            </w:pPr>
          </w:p>
        </w:tc>
        <w:tc>
          <w:tcPr>
            <w:tcW w:w="2223" w:type="dxa"/>
            <w:tcBorders>
              <w:top w:val="single" w:sz="4" w:space="0" w:color="auto"/>
              <w:bottom w:val="single" w:sz="4" w:space="0" w:color="auto"/>
            </w:tcBorders>
            <w:shd w:val="clear" w:color="auto" w:fill="auto"/>
            <w:tcMar>
              <w:top w:w="0" w:type="dxa"/>
              <w:left w:w="108" w:type="dxa"/>
              <w:bottom w:w="0" w:type="dxa"/>
              <w:right w:w="108" w:type="dxa"/>
            </w:tcMar>
          </w:tcPr>
          <w:p w14:paraId="5E441D7D" w14:textId="77777777" w:rsidR="00D309EE" w:rsidRPr="00606153" w:rsidRDefault="00D309EE" w:rsidP="00855A37">
            <w:pPr>
              <w:pStyle w:val="NoParagraphStyle"/>
              <w:widowControl/>
              <w:spacing w:after="120" w:line="240" w:lineRule="auto"/>
              <w:jc w:val="both"/>
              <w:textAlignment w:val="auto"/>
              <w:rPr>
                <w:rFonts w:ascii="Arial" w:hAnsi="Arial" w:cs="Arial"/>
                <w:b/>
                <w:color w:val="auto"/>
                <w:sz w:val="22"/>
                <w:szCs w:val="22"/>
              </w:rPr>
            </w:pPr>
          </w:p>
        </w:tc>
        <w:tc>
          <w:tcPr>
            <w:tcW w:w="2313" w:type="dxa"/>
            <w:tcBorders>
              <w:top w:val="single" w:sz="4" w:space="0" w:color="auto"/>
              <w:bottom w:val="single" w:sz="4" w:space="0" w:color="auto"/>
            </w:tcBorders>
            <w:shd w:val="clear" w:color="auto" w:fill="auto"/>
            <w:tcMar>
              <w:top w:w="0" w:type="dxa"/>
              <w:left w:w="108" w:type="dxa"/>
              <w:bottom w:w="0" w:type="dxa"/>
              <w:right w:w="108" w:type="dxa"/>
            </w:tcMar>
          </w:tcPr>
          <w:p w14:paraId="5E441D7E" w14:textId="77777777" w:rsidR="00D309EE" w:rsidRPr="00606153" w:rsidRDefault="007F2533" w:rsidP="00855A37">
            <w:pPr>
              <w:pStyle w:val="bcepqtbsha"/>
              <w:widowControl/>
              <w:spacing w:after="120" w:line="240" w:lineRule="auto"/>
              <w:jc w:val="both"/>
              <w:rPr>
                <w:rFonts w:ascii="Arial" w:hAnsi="Arial" w:cs="Arial"/>
                <w:color w:val="auto"/>
                <w:sz w:val="22"/>
                <w:szCs w:val="22"/>
              </w:rPr>
            </w:pPr>
            <w:r>
              <w:rPr>
                <w:rFonts w:ascii="Arial" w:hAnsi="Arial" w:cs="Arial"/>
                <w:color w:val="auto"/>
                <w:sz w:val="22"/>
                <w:szCs w:val="22"/>
              </w:rPr>
              <w:t>IFRS</w:t>
            </w:r>
          </w:p>
        </w:tc>
        <w:tc>
          <w:tcPr>
            <w:tcW w:w="2058" w:type="dxa"/>
            <w:tcBorders>
              <w:top w:val="single" w:sz="4" w:space="0" w:color="auto"/>
              <w:bottom w:val="single" w:sz="4" w:space="0" w:color="auto"/>
            </w:tcBorders>
            <w:shd w:val="clear" w:color="auto" w:fill="auto"/>
            <w:tcMar>
              <w:top w:w="0" w:type="dxa"/>
              <w:left w:w="108" w:type="dxa"/>
              <w:bottom w:w="0" w:type="dxa"/>
              <w:right w:w="108" w:type="dxa"/>
            </w:tcMar>
          </w:tcPr>
          <w:p w14:paraId="5E441D7F" w14:textId="77777777" w:rsidR="00D309EE" w:rsidRPr="00606153" w:rsidRDefault="00D309EE" w:rsidP="00855A37">
            <w:pPr>
              <w:pStyle w:val="bcepqtbsha"/>
              <w:widowControl/>
              <w:spacing w:after="120" w:line="240" w:lineRule="auto"/>
              <w:jc w:val="both"/>
              <w:rPr>
                <w:rFonts w:ascii="Arial" w:hAnsi="Arial" w:cs="Arial"/>
                <w:color w:val="auto"/>
                <w:sz w:val="22"/>
                <w:szCs w:val="22"/>
              </w:rPr>
            </w:pPr>
            <w:r w:rsidRPr="00606153">
              <w:rPr>
                <w:rFonts w:ascii="Arial" w:hAnsi="Arial" w:cs="Arial"/>
                <w:color w:val="auto"/>
                <w:sz w:val="22"/>
                <w:szCs w:val="22"/>
              </w:rPr>
              <w:t>ASPE</w:t>
            </w:r>
          </w:p>
        </w:tc>
      </w:tr>
      <w:tr w:rsidR="00D309EE" w:rsidRPr="00606153" w14:paraId="5E441D88" w14:textId="77777777" w:rsidTr="00855A37">
        <w:trPr>
          <w:trHeight w:val="23"/>
        </w:trPr>
        <w:tc>
          <w:tcPr>
            <w:tcW w:w="2478" w:type="dxa"/>
            <w:tcBorders>
              <w:top w:val="single" w:sz="4" w:space="0" w:color="auto"/>
            </w:tcBorders>
            <w:shd w:val="clear" w:color="auto" w:fill="auto"/>
          </w:tcPr>
          <w:p w14:paraId="5E441D81" w14:textId="77777777"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Current ratio</w:t>
            </w:r>
          </w:p>
        </w:tc>
        <w:tc>
          <w:tcPr>
            <w:tcW w:w="2223" w:type="dxa"/>
            <w:tcBorders>
              <w:top w:val="single" w:sz="4" w:space="0" w:color="auto"/>
            </w:tcBorders>
            <w:shd w:val="clear" w:color="auto" w:fill="auto"/>
            <w:tcMar>
              <w:top w:w="0" w:type="dxa"/>
              <w:left w:w="108" w:type="dxa"/>
              <w:bottom w:w="0" w:type="dxa"/>
              <w:right w:w="108" w:type="dxa"/>
            </w:tcMar>
          </w:tcPr>
          <w:p w14:paraId="5E441D82" w14:textId="77777777" w:rsidR="00D309EE" w:rsidRPr="00606153" w:rsidRDefault="00D309EE" w:rsidP="00855A37">
            <w:pPr>
              <w:pStyle w:val="bcepqtbtx"/>
              <w:widowControl/>
              <w:spacing w:after="120" w:line="240" w:lineRule="auto"/>
              <w:ind w:left="100"/>
              <w:jc w:val="both"/>
              <w:rPr>
                <w:rStyle w:val="rule1"/>
                <w:rFonts w:ascii="Arial" w:hAnsi="Arial" w:cs="Arial"/>
                <w:color w:val="auto"/>
                <w:sz w:val="22"/>
                <w:szCs w:val="22"/>
              </w:rPr>
            </w:pPr>
            <w:r w:rsidRPr="00606153">
              <w:rPr>
                <w:rStyle w:val="rule1roman"/>
                <w:rFonts w:ascii="Arial" w:hAnsi="Arial" w:cs="Arial"/>
                <w:color w:val="auto"/>
                <w:sz w:val="22"/>
                <w:szCs w:val="22"/>
              </w:rPr>
              <w:t>Current assets</w:t>
            </w:r>
          </w:p>
          <w:p w14:paraId="5E441D83"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Current liabilities</w:t>
            </w:r>
          </w:p>
        </w:tc>
        <w:tc>
          <w:tcPr>
            <w:tcW w:w="2313" w:type="dxa"/>
            <w:tcBorders>
              <w:top w:val="single" w:sz="4" w:space="0" w:color="auto"/>
            </w:tcBorders>
            <w:shd w:val="clear" w:color="auto" w:fill="auto"/>
            <w:tcMar>
              <w:top w:w="0" w:type="dxa"/>
              <w:left w:w="108" w:type="dxa"/>
              <w:bottom w:w="0" w:type="dxa"/>
              <w:right w:w="108" w:type="dxa"/>
            </w:tcMar>
          </w:tcPr>
          <w:p w14:paraId="5E441D84"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sidRPr="00606153">
              <w:rPr>
                <w:rStyle w:val="rule1"/>
                <w:rFonts w:ascii="Arial" w:hAnsi="Arial" w:cs="Arial"/>
                <w:color w:val="auto"/>
                <w:sz w:val="22"/>
                <w:szCs w:val="22"/>
                <w:u w:val="single"/>
              </w:rPr>
              <w:t>13,6</w:t>
            </w:r>
            <w:r w:rsidRPr="00606153">
              <w:rPr>
                <w:rStyle w:val="rule1roman"/>
                <w:rFonts w:ascii="Arial" w:hAnsi="Arial" w:cs="Arial"/>
                <w:color w:val="auto"/>
                <w:sz w:val="22"/>
                <w:szCs w:val="22"/>
              </w:rPr>
              <w:t>00</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1.27</w:t>
            </w:r>
          </w:p>
          <w:p w14:paraId="5E441D85"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  10,700</w:t>
            </w:r>
          </w:p>
        </w:tc>
        <w:tc>
          <w:tcPr>
            <w:tcW w:w="2058" w:type="dxa"/>
            <w:tcBorders>
              <w:top w:val="single" w:sz="4" w:space="0" w:color="auto"/>
            </w:tcBorders>
            <w:shd w:val="clear" w:color="auto" w:fill="auto"/>
            <w:tcMar>
              <w:top w:w="0" w:type="dxa"/>
              <w:left w:w="108" w:type="dxa"/>
              <w:bottom w:w="0" w:type="dxa"/>
              <w:right w:w="108" w:type="dxa"/>
            </w:tcMar>
          </w:tcPr>
          <w:p w14:paraId="5E441D86"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sidRPr="00606153">
              <w:rPr>
                <w:rStyle w:val="rule1roman"/>
                <w:rFonts w:ascii="Arial" w:hAnsi="Arial" w:cs="Arial"/>
                <w:color w:val="auto"/>
                <w:sz w:val="22"/>
                <w:szCs w:val="22"/>
              </w:rPr>
              <w:t>13,600</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1.27</w:t>
            </w:r>
          </w:p>
          <w:p w14:paraId="5E441D87"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  10,700</w:t>
            </w:r>
          </w:p>
        </w:tc>
      </w:tr>
      <w:tr w:rsidR="00D309EE" w:rsidRPr="00606153" w14:paraId="5E441D90" w14:textId="77777777" w:rsidTr="00855A37">
        <w:trPr>
          <w:trHeight w:val="23"/>
        </w:trPr>
        <w:tc>
          <w:tcPr>
            <w:tcW w:w="2478" w:type="dxa"/>
            <w:shd w:val="clear" w:color="auto" w:fill="auto"/>
          </w:tcPr>
          <w:p w14:paraId="5E441D89" w14:textId="77777777"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Debt to equity</w:t>
            </w:r>
          </w:p>
        </w:tc>
        <w:tc>
          <w:tcPr>
            <w:tcW w:w="2223" w:type="dxa"/>
            <w:shd w:val="clear" w:color="auto" w:fill="auto"/>
            <w:tcMar>
              <w:top w:w="0" w:type="dxa"/>
              <w:left w:w="108" w:type="dxa"/>
              <w:bottom w:w="0" w:type="dxa"/>
              <w:right w:w="108" w:type="dxa"/>
            </w:tcMar>
          </w:tcPr>
          <w:p w14:paraId="5E441D8A" w14:textId="77777777" w:rsidR="00D309EE" w:rsidRPr="00606153" w:rsidRDefault="00D309EE" w:rsidP="00855A37">
            <w:pPr>
              <w:pStyle w:val="bcepqtbtx"/>
              <w:widowControl/>
              <w:spacing w:after="120" w:line="240" w:lineRule="auto"/>
              <w:ind w:left="100"/>
              <w:jc w:val="both"/>
              <w:rPr>
                <w:rStyle w:val="rule1"/>
                <w:rFonts w:ascii="Arial" w:hAnsi="Arial" w:cs="Arial"/>
                <w:color w:val="auto"/>
                <w:sz w:val="22"/>
                <w:szCs w:val="22"/>
              </w:rPr>
            </w:pPr>
            <w:r w:rsidRPr="00606153">
              <w:rPr>
                <w:rStyle w:val="rule1roman"/>
                <w:rFonts w:ascii="Arial" w:hAnsi="Arial" w:cs="Arial"/>
                <w:color w:val="auto"/>
                <w:sz w:val="22"/>
                <w:szCs w:val="22"/>
              </w:rPr>
              <w:t>Debt</w:t>
            </w:r>
          </w:p>
          <w:p w14:paraId="5E441D8B"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Equity</w:t>
            </w:r>
          </w:p>
        </w:tc>
        <w:tc>
          <w:tcPr>
            <w:tcW w:w="2313" w:type="dxa"/>
            <w:shd w:val="clear" w:color="auto" w:fill="auto"/>
            <w:tcMar>
              <w:top w:w="0" w:type="dxa"/>
              <w:left w:w="108" w:type="dxa"/>
              <w:bottom w:w="0" w:type="dxa"/>
              <w:right w:w="108" w:type="dxa"/>
            </w:tcMar>
          </w:tcPr>
          <w:p w14:paraId="5E441D8C"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Style w:val="rule1roman"/>
                <w:rFonts w:ascii="Arial" w:hAnsi="Arial" w:cs="Arial"/>
                <w:color w:val="auto"/>
                <w:sz w:val="22"/>
                <w:szCs w:val="22"/>
              </w:rPr>
              <w:t>25,200</w:t>
            </w:r>
            <w:r w:rsidRPr="00606153">
              <w:rPr>
                <w:rStyle w:val="rule1"/>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1.17</w:t>
            </w:r>
          </w:p>
          <w:p w14:paraId="5E441D8D"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21,500</w:t>
            </w:r>
          </w:p>
        </w:tc>
        <w:tc>
          <w:tcPr>
            <w:tcW w:w="2058" w:type="dxa"/>
            <w:shd w:val="clear" w:color="auto" w:fill="auto"/>
            <w:tcMar>
              <w:top w:w="0" w:type="dxa"/>
              <w:left w:w="108" w:type="dxa"/>
              <w:bottom w:w="0" w:type="dxa"/>
              <w:right w:w="108" w:type="dxa"/>
            </w:tcMar>
          </w:tcPr>
          <w:p w14:paraId="5E441D8E"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Style w:val="rule1roman"/>
                <w:rFonts w:ascii="Arial" w:hAnsi="Arial" w:cs="Arial"/>
                <w:color w:val="auto"/>
                <w:sz w:val="22"/>
                <w:szCs w:val="22"/>
              </w:rPr>
              <w:t>21,299</w:t>
            </w:r>
            <w:r w:rsidRPr="00606153">
              <w:rPr>
                <w:rStyle w:val="rule1"/>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0.89</w:t>
            </w:r>
          </w:p>
          <w:p w14:paraId="5E441D8F"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24,016</w:t>
            </w:r>
          </w:p>
        </w:tc>
      </w:tr>
      <w:tr w:rsidR="00D309EE" w:rsidRPr="00606153" w14:paraId="5E441D98" w14:textId="77777777" w:rsidTr="00855A37">
        <w:trPr>
          <w:trHeight w:val="23"/>
        </w:trPr>
        <w:tc>
          <w:tcPr>
            <w:tcW w:w="2478" w:type="dxa"/>
            <w:shd w:val="clear" w:color="auto" w:fill="auto"/>
          </w:tcPr>
          <w:p w14:paraId="5E441D91" w14:textId="77777777" w:rsidR="00D309EE" w:rsidRPr="00606153" w:rsidRDefault="00D309EE" w:rsidP="00855A37">
            <w:pPr>
              <w:pStyle w:val="bcepqtbtx"/>
              <w:widowControl/>
              <w:spacing w:after="120" w:line="240" w:lineRule="auto"/>
              <w:jc w:val="both"/>
              <w:rPr>
                <w:rFonts w:ascii="Arial" w:hAnsi="Arial" w:cs="Arial"/>
                <w:color w:val="auto"/>
                <w:sz w:val="22"/>
                <w:szCs w:val="22"/>
              </w:rPr>
            </w:pPr>
            <w:r w:rsidRPr="00606153">
              <w:rPr>
                <w:rFonts w:ascii="Arial" w:hAnsi="Arial" w:cs="Arial"/>
                <w:color w:val="auto"/>
                <w:sz w:val="22"/>
                <w:szCs w:val="22"/>
              </w:rPr>
              <w:t>Return on total equity</w:t>
            </w:r>
          </w:p>
        </w:tc>
        <w:tc>
          <w:tcPr>
            <w:tcW w:w="2223" w:type="dxa"/>
            <w:shd w:val="clear" w:color="auto" w:fill="auto"/>
            <w:tcMar>
              <w:top w:w="0" w:type="dxa"/>
              <w:left w:w="108" w:type="dxa"/>
              <w:bottom w:w="0" w:type="dxa"/>
              <w:right w:w="108" w:type="dxa"/>
            </w:tcMar>
          </w:tcPr>
          <w:p w14:paraId="5E441D92" w14:textId="77777777" w:rsidR="00D309EE" w:rsidRPr="00606153" w:rsidRDefault="00D309EE" w:rsidP="00855A37">
            <w:pPr>
              <w:pStyle w:val="bcepqtbtx"/>
              <w:widowControl/>
              <w:spacing w:after="120" w:line="240" w:lineRule="auto"/>
              <w:ind w:left="100"/>
              <w:jc w:val="both"/>
              <w:rPr>
                <w:rStyle w:val="rule1"/>
                <w:rFonts w:ascii="Arial" w:hAnsi="Arial" w:cs="Arial"/>
                <w:color w:val="auto"/>
                <w:sz w:val="22"/>
                <w:szCs w:val="22"/>
              </w:rPr>
            </w:pPr>
            <w:r w:rsidRPr="00606153">
              <w:rPr>
                <w:rStyle w:val="rule1roman"/>
                <w:rFonts w:ascii="Arial" w:hAnsi="Arial" w:cs="Arial"/>
                <w:color w:val="auto"/>
                <w:sz w:val="22"/>
                <w:szCs w:val="22"/>
              </w:rPr>
              <w:t>Net income</w:t>
            </w:r>
          </w:p>
          <w:p w14:paraId="5E441D93"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Total equity</w:t>
            </w:r>
          </w:p>
        </w:tc>
        <w:tc>
          <w:tcPr>
            <w:tcW w:w="2313" w:type="dxa"/>
            <w:shd w:val="clear" w:color="auto" w:fill="auto"/>
            <w:tcMar>
              <w:top w:w="0" w:type="dxa"/>
              <w:left w:w="108" w:type="dxa"/>
              <w:bottom w:w="0" w:type="dxa"/>
              <w:right w:w="108" w:type="dxa"/>
            </w:tcMar>
          </w:tcPr>
          <w:p w14:paraId="5E441D94"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sidRPr="00606153">
              <w:rPr>
                <w:rStyle w:val="rule1roman"/>
                <w:rFonts w:ascii="Arial" w:hAnsi="Arial" w:cs="Arial"/>
                <w:color w:val="auto"/>
                <w:sz w:val="22"/>
                <w:szCs w:val="22"/>
              </w:rPr>
              <w:t>3,000</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13.95%</w:t>
            </w:r>
          </w:p>
          <w:p w14:paraId="5E441D95"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21,500</w:t>
            </w:r>
          </w:p>
        </w:tc>
        <w:tc>
          <w:tcPr>
            <w:tcW w:w="2058" w:type="dxa"/>
            <w:shd w:val="clear" w:color="auto" w:fill="auto"/>
            <w:tcMar>
              <w:top w:w="0" w:type="dxa"/>
              <w:left w:w="108" w:type="dxa"/>
              <w:bottom w:w="0" w:type="dxa"/>
              <w:right w:w="108" w:type="dxa"/>
            </w:tcMar>
          </w:tcPr>
          <w:p w14:paraId="5E441D96"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Style w:val="rule1"/>
                <w:rFonts w:ascii="Arial" w:hAnsi="Arial" w:cs="Arial"/>
                <w:color w:val="auto"/>
                <w:sz w:val="22"/>
                <w:szCs w:val="22"/>
              </w:rPr>
              <w:t> </w:t>
            </w:r>
            <w:r w:rsidRPr="00606153">
              <w:rPr>
                <w:rStyle w:val="rule1roman"/>
                <w:rFonts w:ascii="Arial" w:hAnsi="Arial" w:cs="Arial"/>
                <w:color w:val="auto"/>
                <w:sz w:val="22"/>
                <w:szCs w:val="22"/>
              </w:rPr>
              <w:t>3,061</w:t>
            </w:r>
            <w:r w:rsidRPr="00606153">
              <w:rPr>
                <w:rFonts w:ascii="Arial" w:hAnsi="Arial" w:cs="Arial"/>
                <w:color w:val="auto"/>
                <w:sz w:val="22"/>
                <w:szCs w:val="22"/>
              </w:rPr>
              <w:t> </w:t>
            </w:r>
            <w:r w:rsidRPr="00606153">
              <w:rPr>
                <w:rStyle w:val="mpi"/>
                <w:rFonts w:ascii="Arial" w:hAnsi="Arial" w:cs="Arial"/>
                <w:color w:val="auto"/>
                <w:sz w:val="22"/>
                <w:szCs w:val="22"/>
              </w:rPr>
              <w:t>=</w:t>
            </w:r>
            <w:r w:rsidRPr="00606153">
              <w:rPr>
                <w:rFonts w:ascii="Arial" w:hAnsi="Arial" w:cs="Arial"/>
                <w:color w:val="auto"/>
                <w:sz w:val="22"/>
                <w:szCs w:val="22"/>
              </w:rPr>
              <w:t> 12.75%</w:t>
            </w:r>
          </w:p>
          <w:p w14:paraId="5E441D97" w14:textId="77777777" w:rsidR="00D309EE" w:rsidRPr="00606153" w:rsidRDefault="00D309EE" w:rsidP="00855A37">
            <w:pPr>
              <w:pStyle w:val="bcepqtbtx"/>
              <w:widowControl/>
              <w:spacing w:after="120" w:line="240" w:lineRule="auto"/>
              <w:ind w:left="100"/>
              <w:jc w:val="both"/>
              <w:rPr>
                <w:rFonts w:ascii="Arial" w:hAnsi="Arial" w:cs="Arial"/>
                <w:color w:val="auto"/>
                <w:sz w:val="22"/>
                <w:szCs w:val="22"/>
              </w:rPr>
            </w:pPr>
            <w:r w:rsidRPr="00606153">
              <w:rPr>
                <w:rFonts w:ascii="Arial" w:hAnsi="Arial" w:cs="Arial"/>
                <w:color w:val="auto"/>
                <w:sz w:val="22"/>
                <w:szCs w:val="22"/>
              </w:rPr>
              <w:t>24,016</w:t>
            </w:r>
          </w:p>
        </w:tc>
      </w:tr>
    </w:tbl>
    <w:p w14:paraId="5E441D99" w14:textId="77777777" w:rsidR="00D309EE" w:rsidRPr="00606153" w:rsidRDefault="00D309EE" w:rsidP="006F3822">
      <w:pPr>
        <w:pStyle w:val="bcepqtbtx"/>
        <w:widowControl/>
        <w:spacing w:before="240" w:after="120" w:line="360" w:lineRule="auto"/>
        <w:jc w:val="both"/>
        <w:rPr>
          <w:rFonts w:ascii="Arial" w:hAnsi="Arial" w:cs="Arial"/>
          <w:b/>
          <w:bCs/>
          <w:color w:val="auto"/>
          <w:sz w:val="22"/>
          <w:szCs w:val="22"/>
        </w:rPr>
      </w:pPr>
      <w:r w:rsidRPr="00606153">
        <w:rPr>
          <w:rStyle w:val="bold"/>
          <w:rFonts w:ascii="Arial" w:hAnsi="Arial" w:cs="Arial"/>
          <w:color w:val="auto"/>
          <w:sz w:val="22"/>
          <w:szCs w:val="22"/>
        </w:rPr>
        <w:t>Notes:</w:t>
      </w:r>
    </w:p>
    <w:p w14:paraId="5E441D9A" w14:textId="77777777" w:rsidR="00D309EE" w:rsidRPr="00606153" w:rsidRDefault="00D309EE" w:rsidP="006F3822">
      <w:pPr>
        <w:pStyle w:val="bcepqlnfirst"/>
        <w:widowControl/>
        <w:numPr>
          <w:ilvl w:val="0"/>
          <w:numId w:val="51"/>
        </w:numPr>
        <w:spacing w:before="0" w:after="120" w:line="360" w:lineRule="auto"/>
        <w:rPr>
          <w:rFonts w:ascii="Arial" w:hAnsi="Arial" w:cs="Arial"/>
          <w:color w:val="auto"/>
          <w:sz w:val="22"/>
          <w:szCs w:val="22"/>
        </w:rPr>
      </w:pPr>
      <w:r w:rsidRPr="00606153">
        <w:rPr>
          <w:rFonts w:ascii="Arial" w:hAnsi="Arial" w:cs="Arial"/>
          <w:color w:val="auto"/>
          <w:sz w:val="22"/>
          <w:szCs w:val="22"/>
        </w:rPr>
        <w:t xml:space="preserve">The recoverable amount under </w:t>
      </w:r>
      <w:r w:rsidR="007F2533">
        <w:rPr>
          <w:rFonts w:ascii="Arial" w:hAnsi="Arial" w:cs="Arial"/>
          <w:color w:val="auto"/>
          <w:sz w:val="22"/>
          <w:szCs w:val="22"/>
        </w:rPr>
        <w:t>IFRS</w:t>
      </w:r>
      <w:r w:rsidRPr="00606153">
        <w:rPr>
          <w:rFonts w:ascii="Arial" w:hAnsi="Arial" w:cs="Arial"/>
          <w:color w:val="auto"/>
          <w:sz w:val="22"/>
          <w:szCs w:val="22"/>
        </w:rPr>
        <w:t xml:space="preserve"> is the higher of value in use and fair value, which are $18,900 at the end of Year 5 and $18,200 at the end of Year 6. Under ASPE, the equipment is written down to fair value if the undiscounted cash flows are less than the carrying amount. An impairment loss can be reversed under IFRS but not under ASPE. </w:t>
      </w:r>
    </w:p>
    <w:p w14:paraId="5E441D9B" w14:textId="77777777" w:rsidR="00D309EE" w:rsidRPr="00606153" w:rsidRDefault="00D309EE" w:rsidP="006F3822">
      <w:pPr>
        <w:pStyle w:val="NoParagraphStyle"/>
        <w:spacing w:line="360" w:lineRule="auto"/>
        <w:rPr>
          <w:rFonts w:ascii="Arial" w:hAnsi="Arial" w:cs="Arial"/>
          <w:sz w:val="22"/>
          <w:szCs w:val="22"/>
          <w:lang w:eastAsia="en-IN" w:bidi="he-IL"/>
        </w:rPr>
      </w:pPr>
    </w:p>
    <w:p w14:paraId="5E441D9C" w14:textId="77777777"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ab/>
      </w:r>
      <w:r w:rsidR="007F2533">
        <w:rPr>
          <w:rFonts w:ascii="Arial" w:hAnsi="Arial" w:cs="Arial"/>
          <w:sz w:val="22"/>
          <w:szCs w:val="22"/>
          <w:lang w:eastAsia="en-IN" w:bidi="he-IL"/>
        </w:rPr>
        <w:t>IFRS</w:t>
      </w:r>
      <w:r w:rsidRPr="00606153">
        <w:rPr>
          <w:rFonts w:ascii="Arial" w:hAnsi="Arial" w:cs="Arial"/>
          <w:sz w:val="22"/>
          <w:szCs w:val="22"/>
          <w:lang w:eastAsia="en-IN" w:bidi="he-IL"/>
        </w:rPr>
        <w:tab/>
      </w:r>
      <w:r w:rsidRPr="00606153">
        <w:rPr>
          <w:rFonts w:ascii="Arial" w:hAnsi="Arial" w:cs="Arial"/>
          <w:sz w:val="22"/>
          <w:szCs w:val="22"/>
          <w:lang w:eastAsia="en-IN" w:bidi="he-IL"/>
        </w:rPr>
        <w:tab/>
        <w:t>ASPE</w:t>
      </w:r>
    </w:p>
    <w:p w14:paraId="5E441D9D" w14:textId="77777777"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ab/>
        <w:t>YR5</w:t>
      </w:r>
      <w:r w:rsidRPr="00606153">
        <w:rPr>
          <w:rFonts w:ascii="Arial" w:hAnsi="Arial" w:cs="Arial"/>
          <w:sz w:val="22"/>
          <w:szCs w:val="22"/>
          <w:lang w:eastAsia="en-IN" w:bidi="he-IL"/>
        </w:rPr>
        <w:tab/>
        <w:t>YR6</w:t>
      </w:r>
      <w:r w:rsidRPr="00606153">
        <w:rPr>
          <w:rFonts w:ascii="Arial" w:hAnsi="Arial" w:cs="Arial"/>
          <w:sz w:val="22"/>
          <w:szCs w:val="22"/>
          <w:lang w:eastAsia="en-IN" w:bidi="he-IL"/>
        </w:rPr>
        <w:tab/>
        <w:t>YR5</w:t>
      </w:r>
      <w:r w:rsidRPr="00606153">
        <w:rPr>
          <w:rFonts w:ascii="Arial" w:hAnsi="Arial" w:cs="Arial"/>
          <w:sz w:val="22"/>
          <w:szCs w:val="22"/>
          <w:lang w:eastAsia="en-IN" w:bidi="he-IL"/>
        </w:rPr>
        <w:tab/>
        <w:t>YR6</w:t>
      </w:r>
    </w:p>
    <w:p w14:paraId="5E441D9E" w14:textId="77777777"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Cost of equipment</w:t>
      </w:r>
      <w:r w:rsidRPr="00606153">
        <w:rPr>
          <w:rFonts w:ascii="Arial" w:hAnsi="Arial" w:cs="Arial"/>
          <w:sz w:val="22"/>
          <w:szCs w:val="22"/>
          <w:lang w:eastAsia="en-IN" w:bidi="he-IL"/>
        </w:rPr>
        <w:tab/>
        <w:t>$25,000</w:t>
      </w:r>
      <w:r w:rsidRPr="00606153">
        <w:rPr>
          <w:rFonts w:ascii="Arial" w:hAnsi="Arial" w:cs="Arial"/>
          <w:sz w:val="22"/>
          <w:szCs w:val="22"/>
          <w:lang w:eastAsia="en-IN" w:bidi="he-IL"/>
        </w:rPr>
        <w:tab/>
        <w:t>$25,000</w:t>
      </w:r>
      <w:r w:rsidRPr="00606153">
        <w:rPr>
          <w:rFonts w:ascii="Arial" w:hAnsi="Arial" w:cs="Arial"/>
          <w:sz w:val="22"/>
          <w:szCs w:val="22"/>
          <w:lang w:eastAsia="en-IN" w:bidi="he-IL"/>
        </w:rPr>
        <w:tab/>
        <w:t>$25,000</w:t>
      </w:r>
      <w:r w:rsidRPr="00606153">
        <w:rPr>
          <w:rFonts w:ascii="Arial" w:hAnsi="Arial" w:cs="Arial"/>
          <w:sz w:val="22"/>
          <w:szCs w:val="22"/>
          <w:lang w:eastAsia="en-IN" w:bidi="he-IL"/>
        </w:rPr>
        <w:tab/>
        <w:t>$25,000</w:t>
      </w:r>
    </w:p>
    <w:p w14:paraId="5E441D9F" w14:textId="77777777"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proofErr w:type="spellStart"/>
      <w:r w:rsidRPr="00606153">
        <w:rPr>
          <w:rFonts w:ascii="Arial" w:hAnsi="Arial" w:cs="Arial"/>
          <w:sz w:val="22"/>
          <w:szCs w:val="22"/>
          <w:lang w:eastAsia="en-IN" w:bidi="he-IL"/>
        </w:rPr>
        <w:t>Accum</w:t>
      </w:r>
      <w:proofErr w:type="spellEnd"/>
      <w:r w:rsidRPr="00606153">
        <w:rPr>
          <w:rFonts w:ascii="Arial" w:hAnsi="Arial" w:cs="Arial"/>
          <w:sz w:val="22"/>
          <w:szCs w:val="22"/>
          <w:lang w:eastAsia="en-IN" w:bidi="he-IL"/>
        </w:rPr>
        <w:t xml:space="preserve"> depreciation</w:t>
      </w:r>
      <w:r w:rsidRPr="00606153">
        <w:rPr>
          <w:rFonts w:ascii="Arial" w:hAnsi="Arial" w:cs="Arial"/>
          <w:sz w:val="22"/>
          <w:szCs w:val="22"/>
          <w:lang w:eastAsia="en-IN" w:bidi="he-IL"/>
        </w:rPr>
        <w:tab/>
        <w:t>(5,000)</w:t>
      </w:r>
      <w:r w:rsidRPr="00606153">
        <w:rPr>
          <w:rFonts w:ascii="Arial" w:hAnsi="Arial" w:cs="Arial"/>
          <w:sz w:val="22"/>
          <w:szCs w:val="22"/>
          <w:lang w:eastAsia="en-IN" w:bidi="he-IL"/>
        </w:rPr>
        <w:tab/>
        <w:t>(6,000)</w:t>
      </w:r>
      <w:r w:rsidRPr="00606153">
        <w:rPr>
          <w:rFonts w:ascii="Arial" w:hAnsi="Arial" w:cs="Arial"/>
          <w:sz w:val="22"/>
          <w:szCs w:val="22"/>
          <w:lang w:eastAsia="en-IN" w:bidi="he-IL"/>
        </w:rPr>
        <w:tab/>
        <w:t>(5,000)</w:t>
      </w:r>
      <w:r w:rsidRPr="00606153">
        <w:rPr>
          <w:rFonts w:ascii="Arial" w:hAnsi="Arial" w:cs="Arial"/>
          <w:sz w:val="22"/>
          <w:szCs w:val="22"/>
          <w:lang w:eastAsia="en-IN" w:bidi="he-IL"/>
        </w:rPr>
        <w:tab/>
        <w:t>(5,885)</w:t>
      </w:r>
    </w:p>
    <w:p w14:paraId="5E441DA0" w14:textId="77777777"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proofErr w:type="spellStart"/>
      <w:r w:rsidRPr="00606153">
        <w:rPr>
          <w:rFonts w:ascii="Arial" w:hAnsi="Arial" w:cs="Arial"/>
          <w:sz w:val="22"/>
          <w:szCs w:val="22"/>
          <w:lang w:eastAsia="en-IN" w:bidi="he-IL"/>
        </w:rPr>
        <w:t>Accum</w:t>
      </w:r>
      <w:proofErr w:type="spellEnd"/>
      <w:r w:rsidRPr="00606153">
        <w:rPr>
          <w:rFonts w:ascii="Arial" w:hAnsi="Arial" w:cs="Arial"/>
          <w:sz w:val="22"/>
          <w:szCs w:val="22"/>
          <w:lang w:eastAsia="en-IN" w:bidi="he-IL"/>
        </w:rPr>
        <w:t xml:space="preserve"> impairment losses</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(1,100)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(800)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(2,300)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(2,300)</w:t>
      </w:r>
    </w:p>
    <w:p w14:paraId="5E441DA1" w14:textId="77777777"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Carrying amount on SCFP</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18,900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18,200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17,700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16,815</w:t>
      </w:r>
    </w:p>
    <w:p w14:paraId="5E441DA2" w14:textId="77777777"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Depreciation expense</w:t>
      </w:r>
      <w:r w:rsidRPr="00606153">
        <w:rPr>
          <w:rFonts w:ascii="Arial" w:hAnsi="Arial" w:cs="Arial"/>
          <w:sz w:val="22"/>
          <w:szCs w:val="22"/>
          <w:lang w:eastAsia="en-IN" w:bidi="he-IL"/>
        </w:rPr>
        <w:tab/>
        <w:t>1,000</w:t>
      </w:r>
      <w:r w:rsidRPr="00606153">
        <w:rPr>
          <w:rFonts w:ascii="Arial" w:hAnsi="Arial" w:cs="Arial"/>
          <w:sz w:val="22"/>
          <w:szCs w:val="22"/>
          <w:lang w:eastAsia="en-IN" w:bidi="he-IL"/>
        </w:rPr>
        <w:tab/>
        <w:t>1,000</w:t>
      </w:r>
      <w:r w:rsidRPr="00606153">
        <w:rPr>
          <w:rFonts w:ascii="Arial" w:hAnsi="Arial" w:cs="Arial"/>
          <w:sz w:val="22"/>
          <w:szCs w:val="22"/>
          <w:lang w:eastAsia="en-IN" w:bidi="he-IL"/>
        </w:rPr>
        <w:tab/>
        <w:t>1,000</w:t>
      </w:r>
      <w:r w:rsidRPr="00606153">
        <w:rPr>
          <w:rFonts w:ascii="Arial" w:hAnsi="Arial" w:cs="Arial"/>
          <w:sz w:val="22"/>
          <w:szCs w:val="22"/>
          <w:lang w:eastAsia="en-IN" w:bidi="he-IL"/>
        </w:rPr>
        <w:tab/>
        <w:t>885*</w:t>
      </w:r>
    </w:p>
    <w:p w14:paraId="5E441DA3" w14:textId="77777777" w:rsidR="00D309EE" w:rsidRPr="00606153" w:rsidRDefault="00D309EE" w:rsidP="006F3822">
      <w:pPr>
        <w:pStyle w:val="NoParagraphStyle"/>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Impairment loss (recovery)</w:t>
      </w:r>
      <w:r w:rsidRPr="00606153">
        <w:rPr>
          <w:rFonts w:ascii="Arial" w:hAnsi="Arial" w:cs="Arial"/>
          <w:sz w:val="22"/>
          <w:szCs w:val="22"/>
          <w:lang w:eastAsia="en-IN" w:bidi="he-IL"/>
        </w:rPr>
        <w:tab/>
        <w:t>1,100</w:t>
      </w:r>
      <w:r w:rsidRPr="00606153">
        <w:rPr>
          <w:rFonts w:ascii="Arial" w:hAnsi="Arial" w:cs="Arial"/>
          <w:sz w:val="22"/>
          <w:szCs w:val="22"/>
          <w:lang w:eastAsia="en-IN" w:bidi="he-IL"/>
        </w:rPr>
        <w:tab/>
        <w:t>(300)</w:t>
      </w:r>
      <w:r w:rsidRPr="00606153">
        <w:rPr>
          <w:rFonts w:ascii="Arial" w:hAnsi="Arial" w:cs="Arial"/>
          <w:sz w:val="22"/>
          <w:szCs w:val="22"/>
          <w:lang w:eastAsia="en-IN" w:bidi="he-IL"/>
        </w:rPr>
        <w:tab/>
        <w:t>2,300</w:t>
      </w:r>
      <w:r w:rsidRPr="00606153">
        <w:rPr>
          <w:rFonts w:ascii="Arial" w:hAnsi="Arial" w:cs="Arial"/>
          <w:sz w:val="22"/>
          <w:szCs w:val="22"/>
          <w:lang w:eastAsia="en-IN" w:bidi="he-IL"/>
        </w:rPr>
        <w:tab/>
      </w:r>
    </w:p>
    <w:p w14:paraId="5E441DA4" w14:textId="77777777" w:rsidR="00D309EE" w:rsidRPr="00606153" w:rsidRDefault="00D309EE" w:rsidP="006F3822">
      <w:pPr>
        <w:pStyle w:val="NoParagraphStyle"/>
        <w:spacing w:line="360" w:lineRule="auto"/>
        <w:rPr>
          <w:rFonts w:ascii="Arial" w:hAnsi="Arial" w:cs="Arial"/>
          <w:sz w:val="22"/>
          <w:szCs w:val="22"/>
          <w:lang w:eastAsia="en-IN" w:bidi="he-IL"/>
        </w:rPr>
      </w:pPr>
    </w:p>
    <w:p w14:paraId="5E441DA5" w14:textId="77777777" w:rsidR="00D309EE" w:rsidRPr="00606153" w:rsidRDefault="00D309EE" w:rsidP="006F3822">
      <w:pPr>
        <w:pStyle w:val="NoParagraphStyle"/>
        <w:spacing w:line="360" w:lineRule="auto"/>
        <w:rPr>
          <w:rFonts w:ascii="Arial" w:hAnsi="Arial" w:cs="Arial"/>
          <w:sz w:val="22"/>
          <w:szCs w:val="22"/>
          <w:lang w:eastAsia="en-IN" w:bidi="he-IL"/>
        </w:rPr>
      </w:pPr>
      <w:r w:rsidRPr="00606153">
        <w:rPr>
          <w:rFonts w:ascii="Arial" w:hAnsi="Arial" w:cs="Arial"/>
          <w:sz w:val="22"/>
          <w:szCs w:val="22"/>
          <w:lang w:eastAsia="en-IN" w:bidi="he-IL"/>
        </w:rPr>
        <w:t>* 17,700 / 20 Years = 885</w:t>
      </w:r>
    </w:p>
    <w:p w14:paraId="5E441DA6" w14:textId="77777777" w:rsidR="00D309EE" w:rsidRPr="00606153" w:rsidRDefault="00D309EE" w:rsidP="006F3822">
      <w:pPr>
        <w:pStyle w:val="NoParagraphStyle"/>
        <w:numPr>
          <w:ilvl w:val="0"/>
          <w:numId w:val="52"/>
        </w:numPr>
        <w:tabs>
          <w:tab w:val="right" w:pos="9000"/>
        </w:tabs>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Difference in depreciation expense for Year 6 (1,000 – 885) </w:t>
      </w:r>
      <w:r w:rsidRPr="00606153">
        <w:rPr>
          <w:rFonts w:ascii="Arial" w:hAnsi="Arial" w:cs="Arial"/>
          <w:sz w:val="22"/>
          <w:szCs w:val="22"/>
          <w:lang w:eastAsia="en-IN" w:bidi="he-IL"/>
        </w:rPr>
        <w:tab/>
        <w:t>115</w:t>
      </w:r>
    </w:p>
    <w:p w14:paraId="5E441DA7" w14:textId="77777777" w:rsidR="00D309EE" w:rsidRPr="00606153" w:rsidRDefault="00D309EE" w:rsidP="006F3822">
      <w:pPr>
        <w:pStyle w:val="NoParagraphStyle"/>
        <w:numPr>
          <w:ilvl w:val="0"/>
          <w:numId w:val="52"/>
        </w:numPr>
        <w:tabs>
          <w:tab w:val="right" w:pos="9000"/>
        </w:tabs>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Difference in accumulated depreciation at end of Year 6 (6,000 – 5,885) </w:t>
      </w:r>
      <w:r w:rsidRPr="00606153">
        <w:rPr>
          <w:rFonts w:ascii="Arial" w:hAnsi="Arial" w:cs="Arial"/>
          <w:sz w:val="22"/>
          <w:szCs w:val="22"/>
          <w:lang w:eastAsia="en-IN" w:bidi="he-IL"/>
        </w:rPr>
        <w:tab/>
        <w:t>115</w:t>
      </w:r>
    </w:p>
    <w:p w14:paraId="5E441DA8" w14:textId="77777777" w:rsidR="00D309EE" w:rsidRPr="00606153" w:rsidRDefault="00D309EE" w:rsidP="006F3822">
      <w:pPr>
        <w:pStyle w:val="NoParagraphStyle"/>
        <w:numPr>
          <w:ilvl w:val="0"/>
          <w:numId w:val="52"/>
        </w:numPr>
        <w:tabs>
          <w:tab w:val="right" w:pos="9000"/>
        </w:tabs>
        <w:spacing w:line="360" w:lineRule="auto"/>
        <w:rPr>
          <w:rFonts w:ascii="Arial" w:hAnsi="Arial" w:cs="Arial"/>
          <w:sz w:val="22"/>
          <w:szCs w:val="22"/>
          <w:lang w:eastAsia="en-IN" w:bidi="he-IL"/>
        </w:rPr>
      </w:pPr>
      <w:r w:rsidRPr="00606153">
        <w:rPr>
          <w:rFonts w:ascii="Arial" w:hAnsi="Arial" w:cs="Arial"/>
          <w:sz w:val="22"/>
          <w:szCs w:val="22"/>
          <w:lang w:eastAsia="en-IN" w:bidi="he-IL"/>
        </w:rPr>
        <w:t>Impairment loss recovery for Year 6 under IFRS (1,100 – 800)</w:t>
      </w:r>
      <w:r w:rsidRPr="00606153">
        <w:rPr>
          <w:rFonts w:ascii="Arial" w:hAnsi="Arial" w:cs="Arial"/>
          <w:sz w:val="22"/>
          <w:szCs w:val="22"/>
          <w:lang w:eastAsia="en-IN" w:bidi="he-IL"/>
        </w:rPr>
        <w:tab/>
        <w:t>300</w:t>
      </w:r>
    </w:p>
    <w:p w14:paraId="5E441DA9" w14:textId="77777777" w:rsidR="00D309EE" w:rsidRPr="00606153" w:rsidRDefault="00D309EE" w:rsidP="006F3822">
      <w:pPr>
        <w:pStyle w:val="NoParagraphStyle"/>
        <w:numPr>
          <w:ilvl w:val="0"/>
          <w:numId w:val="52"/>
        </w:numPr>
        <w:tabs>
          <w:tab w:val="right" w:pos="9000"/>
        </w:tabs>
        <w:spacing w:line="360" w:lineRule="auto"/>
        <w:rPr>
          <w:rFonts w:ascii="Arial" w:hAnsi="Arial" w:cs="Arial"/>
          <w:sz w:val="22"/>
          <w:szCs w:val="22"/>
          <w:lang w:eastAsia="en-IN" w:bidi="he-IL"/>
        </w:rPr>
      </w:pPr>
      <w:r w:rsidRPr="00606153">
        <w:rPr>
          <w:rFonts w:ascii="Arial" w:hAnsi="Arial" w:cs="Arial"/>
          <w:sz w:val="22"/>
          <w:szCs w:val="22"/>
          <w:lang w:eastAsia="en-IN" w:bidi="he-IL"/>
        </w:rPr>
        <w:t>Difference in accum</w:t>
      </w:r>
      <w:r w:rsidR="00973E9C">
        <w:rPr>
          <w:rFonts w:ascii="Arial" w:hAnsi="Arial" w:cs="Arial"/>
          <w:sz w:val="22"/>
          <w:szCs w:val="22"/>
          <w:lang w:eastAsia="en-IN" w:bidi="he-IL"/>
        </w:rPr>
        <w:t>ulated</w:t>
      </w:r>
      <w:r w:rsidRPr="00606153">
        <w:rPr>
          <w:rFonts w:ascii="Arial" w:hAnsi="Arial" w:cs="Arial"/>
          <w:sz w:val="22"/>
          <w:szCs w:val="22"/>
          <w:lang w:eastAsia="en-IN" w:bidi="he-IL"/>
        </w:rPr>
        <w:t xml:space="preserve"> impairment loss at end of Year 6 (2,300 – 800) </w:t>
      </w:r>
      <w:r w:rsidRPr="00606153">
        <w:rPr>
          <w:rFonts w:ascii="Arial" w:hAnsi="Arial" w:cs="Arial"/>
          <w:sz w:val="22"/>
          <w:szCs w:val="22"/>
          <w:lang w:eastAsia="en-IN" w:bidi="he-IL"/>
        </w:rPr>
        <w:tab/>
        <w:t>1,500</w:t>
      </w:r>
    </w:p>
    <w:p w14:paraId="5E441DAA" w14:textId="77777777" w:rsidR="00D309EE" w:rsidRPr="00606153" w:rsidRDefault="00D309EE" w:rsidP="006F3822">
      <w:pPr>
        <w:pStyle w:val="NoParagraphStyle"/>
        <w:spacing w:line="360" w:lineRule="auto"/>
        <w:rPr>
          <w:rFonts w:ascii="Arial" w:hAnsi="Arial" w:cs="Arial"/>
          <w:sz w:val="22"/>
          <w:szCs w:val="22"/>
          <w:lang w:eastAsia="en-IN" w:bidi="he-IL"/>
        </w:rPr>
      </w:pPr>
    </w:p>
    <w:p w14:paraId="5E441DAB" w14:textId="77777777" w:rsidR="00D309EE" w:rsidRPr="00606153" w:rsidRDefault="00D309EE" w:rsidP="006F3822">
      <w:pPr>
        <w:pStyle w:val="bcepqlnfirst"/>
        <w:widowControl/>
        <w:numPr>
          <w:ilvl w:val="0"/>
          <w:numId w:val="51"/>
        </w:numPr>
        <w:spacing w:before="0" w:after="120" w:line="360" w:lineRule="auto"/>
        <w:rPr>
          <w:rFonts w:ascii="Arial" w:hAnsi="Arial" w:cs="Arial"/>
          <w:color w:val="auto"/>
          <w:sz w:val="22"/>
          <w:szCs w:val="22"/>
        </w:rPr>
      </w:pPr>
      <w:r w:rsidRPr="00606153">
        <w:rPr>
          <w:rFonts w:ascii="Arial" w:hAnsi="Arial" w:cs="Arial"/>
          <w:color w:val="auto"/>
          <w:sz w:val="22"/>
          <w:szCs w:val="22"/>
        </w:rPr>
        <w:t>Under ASPE, you can assign the entire proceeds from the convertible bonds to bonds payable or can split the total proceeds between bonds payable and conversion option (which is a component of shareholders’ equity. Maurice wants to use the simplest method, which would be assigning the entire amount to bonds payable.</w:t>
      </w:r>
    </w:p>
    <w:p w14:paraId="5E441DAC" w14:textId="77777777"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lastRenderedPageBreak/>
        <w:tab/>
      </w:r>
      <w:r w:rsidR="007F2533">
        <w:rPr>
          <w:rFonts w:ascii="Arial" w:hAnsi="Arial" w:cs="Arial"/>
          <w:sz w:val="22"/>
          <w:szCs w:val="22"/>
          <w:lang w:eastAsia="en-IN" w:bidi="he-IL"/>
        </w:rPr>
        <w:t>IFRS</w:t>
      </w:r>
      <w:r w:rsidRPr="00606153">
        <w:rPr>
          <w:rFonts w:ascii="Arial" w:hAnsi="Arial" w:cs="Arial"/>
          <w:sz w:val="22"/>
          <w:szCs w:val="22"/>
          <w:lang w:eastAsia="en-IN" w:bidi="he-IL"/>
        </w:rPr>
        <w:tab/>
      </w:r>
      <w:r w:rsidRPr="00606153">
        <w:rPr>
          <w:rFonts w:ascii="Arial" w:hAnsi="Arial" w:cs="Arial"/>
          <w:sz w:val="22"/>
          <w:szCs w:val="22"/>
          <w:lang w:eastAsia="en-IN" w:bidi="he-IL"/>
        </w:rPr>
        <w:tab/>
        <w:t>ASPE</w:t>
      </w:r>
    </w:p>
    <w:p w14:paraId="5E441DAD" w14:textId="77777777"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ab/>
        <w:t>Liability</w:t>
      </w:r>
      <w:r w:rsidRPr="00606153">
        <w:rPr>
          <w:rFonts w:ascii="Arial" w:hAnsi="Arial" w:cs="Arial"/>
          <w:sz w:val="22"/>
          <w:szCs w:val="22"/>
          <w:lang w:eastAsia="en-IN" w:bidi="he-IL"/>
        </w:rPr>
        <w:tab/>
        <w:t>Equity</w:t>
      </w:r>
      <w:r w:rsidRPr="00606153">
        <w:rPr>
          <w:rFonts w:ascii="Arial" w:hAnsi="Arial" w:cs="Arial"/>
          <w:sz w:val="22"/>
          <w:szCs w:val="22"/>
          <w:lang w:eastAsia="en-IN" w:bidi="he-IL"/>
        </w:rPr>
        <w:tab/>
        <w:t>Liability</w:t>
      </w:r>
      <w:r w:rsidRPr="00606153">
        <w:rPr>
          <w:rFonts w:ascii="Arial" w:hAnsi="Arial" w:cs="Arial"/>
          <w:sz w:val="22"/>
          <w:szCs w:val="22"/>
          <w:lang w:eastAsia="en-IN" w:bidi="he-IL"/>
        </w:rPr>
        <w:tab/>
        <w:t>Equity</w:t>
      </w:r>
      <w:r w:rsidRPr="00606153">
        <w:rPr>
          <w:rFonts w:ascii="Arial" w:hAnsi="Arial" w:cs="Arial"/>
          <w:sz w:val="22"/>
          <w:szCs w:val="22"/>
          <w:lang w:eastAsia="en-IN" w:bidi="he-IL"/>
        </w:rPr>
        <w:tab/>
      </w:r>
    </w:p>
    <w:p w14:paraId="5E441DAE" w14:textId="77777777"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Issuance of bonds</w:t>
      </w:r>
      <w:r w:rsidRPr="00606153">
        <w:rPr>
          <w:rFonts w:ascii="Arial" w:hAnsi="Arial" w:cs="Arial"/>
          <w:sz w:val="22"/>
          <w:szCs w:val="22"/>
          <w:lang w:eastAsia="en-IN" w:bidi="he-IL"/>
        </w:rPr>
        <w:tab/>
        <w:t>$12,100</w:t>
      </w:r>
      <w:r w:rsidRPr="00606153">
        <w:rPr>
          <w:rFonts w:ascii="Arial" w:hAnsi="Arial" w:cs="Arial"/>
          <w:sz w:val="22"/>
          <w:szCs w:val="22"/>
          <w:lang w:eastAsia="en-IN" w:bidi="he-IL"/>
        </w:rPr>
        <w:tab/>
        <w:t>$900</w:t>
      </w:r>
      <w:r w:rsidRPr="00606153">
        <w:rPr>
          <w:rFonts w:ascii="Arial" w:hAnsi="Arial" w:cs="Arial"/>
          <w:sz w:val="22"/>
          <w:szCs w:val="22"/>
          <w:lang w:eastAsia="en-IN" w:bidi="he-IL"/>
        </w:rPr>
        <w:tab/>
        <w:t>$13,000</w:t>
      </w:r>
      <w:r w:rsidRPr="00606153">
        <w:rPr>
          <w:rFonts w:ascii="Arial" w:hAnsi="Arial" w:cs="Arial"/>
          <w:sz w:val="22"/>
          <w:szCs w:val="22"/>
          <w:lang w:eastAsia="en-IN" w:bidi="he-IL"/>
        </w:rPr>
        <w:tab/>
        <w:t>$0</w:t>
      </w:r>
    </w:p>
    <w:p w14:paraId="5E441DAF" w14:textId="77777777"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Amort of discount – Year 5</w:t>
      </w:r>
      <w:r w:rsidRPr="00606153">
        <w:rPr>
          <w:rFonts w:ascii="Arial" w:hAnsi="Arial" w:cs="Arial"/>
          <w:sz w:val="22"/>
          <w:szCs w:val="22"/>
          <w:lang w:eastAsia="en-IN" w:bidi="he-IL"/>
        </w:rPr>
        <w:tab/>
        <w:t>55</w:t>
      </w:r>
      <w:r w:rsidRPr="00606153">
        <w:rPr>
          <w:rFonts w:ascii="Arial" w:hAnsi="Arial" w:cs="Arial"/>
          <w:sz w:val="22"/>
          <w:szCs w:val="22"/>
          <w:lang w:eastAsia="en-IN" w:bidi="he-IL"/>
        </w:rPr>
        <w:tab/>
      </w:r>
    </w:p>
    <w:p w14:paraId="5E441DB0" w14:textId="77777777"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lang w:eastAsia="en-IN" w:bidi="he-IL"/>
        </w:rPr>
      </w:pPr>
      <w:r w:rsidRPr="00606153">
        <w:rPr>
          <w:rFonts w:ascii="Arial" w:hAnsi="Arial" w:cs="Arial"/>
          <w:sz w:val="22"/>
          <w:szCs w:val="22"/>
          <w:lang w:eastAsia="en-IN" w:bidi="he-IL"/>
        </w:rPr>
        <w:t>Amort of discount – Year 5</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56</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0</w:t>
      </w:r>
      <w:r w:rsidRPr="00606153">
        <w:rPr>
          <w:rFonts w:ascii="Arial" w:hAnsi="Arial" w:cs="Arial"/>
          <w:sz w:val="22"/>
          <w:szCs w:val="22"/>
          <w:lang w:eastAsia="en-IN" w:bidi="he-IL"/>
        </w:rPr>
        <w:tab/>
      </w:r>
      <w:r w:rsidRPr="00606153">
        <w:rPr>
          <w:rFonts w:ascii="Arial" w:hAnsi="Arial" w:cs="Arial"/>
          <w:sz w:val="22"/>
          <w:szCs w:val="22"/>
          <w:u w:val="single"/>
          <w:lang w:eastAsia="en-IN" w:bidi="he-IL"/>
        </w:rPr>
        <w:t>0</w:t>
      </w:r>
    </w:p>
    <w:p w14:paraId="5E441DB1" w14:textId="77777777"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u w:val="double"/>
          <w:lang w:eastAsia="en-IN" w:bidi="he-IL"/>
        </w:rPr>
      </w:pPr>
      <w:r w:rsidRPr="00606153">
        <w:rPr>
          <w:rFonts w:ascii="Arial" w:hAnsi="Arial" w:cs="Arial"/>
          <w:sz w:val="22"/>
          <w:szCs w:val="22"/>
          <w:lang w:eastAsia="en-IN" w:bidi="he-IL"/>
        </w:rPr>
        <w:t>Carrying amount on SCFP</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12,211</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900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13,000</w:t>
      </w:r>
      <w:r w:rsidRPr="00606153">
        <w:rPr>
          <w:rFonts w:ascii="Arial" w:hAnsi="Arial" w:cs="Arial"/>
          <w:sz w:val="22"/>
          <w:szCs w:val="22"/>
          <w:lang w:eastAsia="en-IN" w:bidi="he-IL"/>
        </w:rPr>
        <w:tab/>
        <w:t>$</w:t>
      </w:r>
      <w:r w:rsidRPr="00606153">
        <w:rPr>
          <w:rFonts w:ascii="Arial" w:hAnsi="Arial" w:cs="Arial"/>
          <w:sz w:val="22"/>
          <w:szCs w:val="22"/>
          <w:u w:val="double"/>
          <w:lang w:eastAsia="en-IN" w:bidi="he-IL"/>
        </w:rPr>
        <w:t>0</w:t>
      </w:r>
    </w:p>
    <w:p w14:paraId="5E441DB2" w14:textId="77777777" w:rsidR="00D309EE" w:rsidRPr="00606153" w:rsidRDefault="00D309EE" w:rsidP="006F3822">
      <w:pPr>
        <w:pStyle w:val="NoParagraphStyle"/>
        <w:tabs>
          <w:tab w:val="right" w:pos="3960"/>
          <w:tab w:val="right" w:pos="5400"/>
          <w:tab w:val="right" w:pos="7200"/>
          <w:tab w:val="right" w:pos="8640"/>
        </w:tabs>
        <w:spacing w:line="360" w:lineRule="auto"/>
        <w:ind w:left="135"/>
        <w:rPr>
          <w:rFonts w:ascii="Arial" w:hAnsi="Arial" w:cs="Arial"/>
          <w:sz w:val="22"/>
          <w:szCs w:val="22"/>
          <w:u w:val="double"/>
          <w:lang w:eastAsia="en-IN" w:bidi="he-IL"/>
        </w:rPr>
      </w:pPr>
    </w:p>
    <w:p w14:paraId="5E441DB3" w14:textId="77777777" w:rsidR="00D309EE" w:rsidRPr="00606153" w:rsidRDefault="00D309EE" w:rsidP="006F3822">
      <w:pPr>
        <w:pStyle w:val="NoParagraphStyle"/>
        <w:numPr>
          <w:ilvl w:val="0"/>
          <w:numId w:val="53"/>
        </w:numPr>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Difference in amortization of bond discount for Year 6 (56 - 0) </w:t>
      </w:r>
      <w:r w:rsidRPr="00606153">
        <w:rPr>
          <w:rFonts w:ascii="Arial" w:hAnsi="Arial" w:cs="Arial"/>
          <w:sz w:val="22"/>
          <w:szCs w:val="22"/>
          <w:lang w:eastAsia="en-IN" w:bidi="he-IL"/>
        </w:rPr>
        <w:tab/>
      </w:r>
      <w:r w:rsidRPr="00606153">
        <w:rPr>
          <w:rFonts w:ascii="Arial" w:hAnsi="Arial" w:cs="Arial"/>
          <w:sz w:val="22"/>
          <w:szCs w:val="22"/>
          <w:lang w:eastAsia="en-IN" w:bidi="he-IL"/>
        </w:rPr>
        <w:tab/>
        <w:t>56</w:t>
      </w:r>
    </w:p>
    <w:p w14:paraId="5E441DB4" w14:textId="77777777" w:rsidR="00D309EE" w:rsidRPr="00606153" w:rsidRDefault="00D309EE" w:rsidP="006F3822">
      <w:pPr>
        <w:pStyle w:val="NoParagraphStyle"/>
        <w:numPr>
          <w:ilvl w:val="0"/>
          <w:numId w:val="53"/>
        </w:numPr>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Difference in bond liability at end of Year 6 (13,000 – 12,211) </w:t>
      </w:r>
      <w:r w:rsidRPr="00606153">
        <w:rPr>
          <w:rFonts w:ascii="Arial" w:hAnsi="Arial" w:cs="Arial"/>
          <w:sz w:val="22"/>
          <w:szCs w:val="22"/>
          <w:lang w:eastAsia="en-IN" w:bidi="he-IL"/>
        </w:rPr>
        <w:tab/>
      </w:r>
      <w:r w:rsidRPr="00606153">
        <w:rPr>
          <w:rFonts w:ascii="Arial" w:hAnsi="Arial" w:cs="Arial"/>
          <w:sz w:val="22"/>
          <w:szCs w:val="22"/>
          <w:lang w:eastAsia="en-IN" w:bidi="he-IL"/>
        </w:rPr>
        <w:tab/>
        <w:t>789</w:t>
      </w:r>
    </w:p>
    <w:p w14:paraId="5E441DB5" w14:textId="77777777" w:rsidR="00D309EE" w:rsidRPr="00606153" w:rsidRDefault="00D309EE" w:rsidP="006F3822">
      <w:pPr>
        <w:pStyle w:val="NoParagraphStyle"/>
        <w:numPr>
          <w:ilvl w:val="0"/>
          <w:numId w:val="53"/>
        </w:numPr>
        <w:tabs>
          <w:tab w:val="right" w:pos="3960"/>
          <w:tab w:val="right" w:pos="5400"/>
          <w:tab w:val="right" w:pos="7200"/>
          <w:tab w:val="right" w:pos="8640"/>
        </w:tabs>
        <w:spacing w:line="360" w:lineRule="auto"/>
        <w:rPr>
          <w:rFonts w:ascii="Arial" w:hAnsi="Arial" w:cs="Arial"/>
          <w:sz w:val="22"/>
          <w:szCs w:val="22"/>
          <w:lang w:eastAsia="en-IN" w:bidi="he-IL"/>
        </w:rPr>
      </w:pPr>
      <w:r w:rsidRPr="00606153">
        <w:rPr>
          <w:rFonts w:ascii="Arial" w:hAnsi="Arial" w:cs="Arial"/>
          <w:sz w:val="22"/>
          <w:szCs w:val="22"/>
          <w:lang w:eastAsia="en-IN" w:bidi="he-IL"/>
        </w:rPr>
        <w:t xml:space="preserve">Difference in shareholders’ equity at end of Year 6 </w:t>
      </w:r>
      <w:r w:rsidRPr="00606153">
        <w:rPr>
          <w:rFonts w:ascii="Arial" w:hAnsi="Arial" w:cs="Arial"/>
          <w:sz w:val="22"/>
          <w:szCs w:val="22"/>
          <w:lang w:eastAsia="en-IN" w:bidi="he-IL"/>
        </w:rPr>
        <w:br/>
        <w:t xml:space="preserve">(900 – 0 – 55 - 56) </w:t>
      </w:r>
      <w:r w:rsidRPr="00606153">
        <w:rPr>
          <w:rFonts w:ascii="Arial" w:hAnsi="Arial" w:cs="Arial"/>
          <w:sz w:val="22"/>
          <w:szCs w:val="22"/>
          <w:lang w:eastAsia="en-IN" w:bidi="he-IL"/>
        </w:rPr>
        <w:tab/>
      </w:r>
      <w:r w:rsidRPr="00606153">
        <w:rPr>
          <w:rFonts w:ascii="Arial" w:hAnsi="Arial" w:cs="Arial"/>
          <w:sz w:val="22"/>
          <w:szCs w:val="22"/>
          <w:lang w:eastAsia="en-IN" w:bidi="he-IL"/>
        </w:rPr>
        <w:tab/>
      </w:r>
      <w:r w:rsidRPr="00606153">
        <w:rPr>
          <w:rFonts w:ascii="Arial" w:hAnsi="Arial" w:cs="Arial"/>
          <w:sz w:val="22"/>
          <w:szCs w:val="22"/>
          <w:lang w:eastAsia="en-IN" w:bidi="he-IL"/>
        </w:rPr>
        <w:tab/>
      </w:r>
      <w:r w:rsidRPr="00606153">
        <w:rPr>
          <w:rFonts w:ascii="Arial" w:hAnsi="Arial" w:cs="Arial"/>
          <w:sz w:val="22"/>
          <w:szCs w:val="22"/>
          <w:lang w:eastAsia="en-IN" w:bidi="he-IL"/>
        </w:rPr>
        <w:tab/>
        <w:t>789</w:t>
      </w:r>
    </w:p>
    <w:p w14:paraId="5E441DB6" w14:textId="77777777" w:rsidR="00D309EE" w:rsidRPr="00606153" w:rsidRDefault="00D309EE" w:rsidP="006F3822">
      <w:pPr>
        <w:pStyle w:val="NoParagraphStyle"/>
        <w:spacing w:line="360" w:lineRule="auto"/>
        <w:rPr>
          <w:rFonts w:ascii="Arial" w:hAnsi="Arial" w:cs="Arial"/>
          <w:sz w:val="22"/>
          <w:szCs w:val="22"/>
          <w:lang w:eastAsia="en-IN" w:bidi="he-IL"/>
        </w:rPr>
      </w:pPr>
    </w:p>
    <w:p w14:paraId="5E441DB7" w14:textId="77777777" w:rsidR="00D309EE" w:rsidRPr="00606153" w:rsidRDefault="00D309EE" w:rsidP="006F3822">
      <w:pPr>
        <w:pStyle w:val="bcepqln"/>
        <w:widowControl/>
        <w:spacing w:before="0" w:after="120" w:line="360" w:lineRule="auto"/>
        <w:rPr>
          <w:rFonts w:ascii="Arial" w:hAnsi="Arial" w:cs="Arial"/>
          <w:color w:val="auto"/>
          <w:sz w:val="22"/>
          <w:szCs w:val="22"/>
        </w:rPr>
      </w:pPr>
      <w:r w:rsidRPr="00606153">
        <w:rPr>
          <w:rFonts w:ascii="Arial" w:hAnsi="Arial" w:cs="Arial"/>
          <w:color w:val="auto"/>
          <w:sz w:val="22"/>
          <w:szCs w:val="22"/>
        </w:rPr>
        <w:tab/>
        <w:t>3.</w:t>
      </w:r>
      <w:r w:rsidRPr="00606153">
        <w:rPr>
          <w:rFonts w:ascii="Arial" w:hAnsi="Arial" w:cs="Arial"/>
          <w:color w:val="auto"/>
          <w:sz w:val="22"/>
          <w:szCs w:val="22"/>
        </w:rPr>
        <w:tab/>
        <w:t xml:space="preserve">Under ASPE, Maurice would choose the taxes payable method because it is much simpler than the future taxes payable method. Therefore, all of the future tax amounts would be eliminated when converting from </w:t>
      </w:r>
      <w:r w:rsidR="007F2533">
        <w:rPr>
          <w:rFonts w:ascii="Arial" w:hAnsi="Arial" w:cs="Arial"/>
          <w:color w:val="auto"/>
          <w:sz w:val="22"/>
          <w:szCs w:val="22"/>
        </w:rPr>
        <w:t>IFRS</w:t>
      </w:r>
      <w:r w:rsidRPr="00606153">
        <w:rPr>
          <w:rFonts w:ascii="Arial" w:hAnsi="Arial" w:cs="Arial"/>
          <w:color w:val="auto"/>
          <w:sz w:val="22"/>
          <w:szCs w:val="22"/>
        </w:rPr>
        <w:t xml:space="preserve"> to ASPE.</w:t>
      </w:r>
    </w:p>
    <w:p w14:paraId="5E441DB8" w14:textId="77777777" w:rsidR="00D309EE" w:rsidRPr="00606153" w:rsidRDefault="00D309EE" w:rsidP="006F3822">
      <w:pPr>
        <w:pStyle w:val="bcepqln"/>
        <w:widowControl/>
        <w:tabs>
          <w:tab w:val="clear" w:pos="250"/>
          <w:tab w:val="clear" w:pos="480"/>
        </w:tabs>
        <w:spacing w:before="0" w:after="120" w:line="360" w:lineRule="auto"/>
        <w:ind w:left="360" w:hanging="360"/>
        <w:rPr>
          <w:rFonts w:ascii="Arial" w:hAnsi="Arial" w:cs="Arial"/>
          <w:color w:val="auto"/>
          <w:sz w:val="22"/>
          <w:szCs w:val="22"/>
        </w:rPr>
      </w:pPr>
      <w:r w:rsidRPr="00606153">
        <w:rPr>
          <w:rFonts w:ascii="Arial" w:hAnsi="Arial" w:cs="Arial"/>
          <w:color w:val="auto"/>
          <w:sz w:val="22"/>
          <w:szCs w:val="22"/>
        </w:rPr>
        <w:t>(b)  The current ratio did not change, which means that liquidity remains the same under ASPE. The debt-to-equity ratio decreased, which means that solvency looks better under ASPE. The return on total equity decreased, which makes profitability look worse under ASPE.</w:t>
      </w:r>
    </w:p>
    <w:p w14:paraId="5E441DB9" w14:textId="77777777" w:rsidR="00931CCC" w:rsidRDefault="00931CCC">
      <w:pPr>
        <w:pStyle w:val="BodyTextIndent3"/>
        <w:tabs>
          <w:tab w:val="left" w:pos="540"/>
          <w:tab w:val="left" w:pos="630"/>
          <w:tab w:val="left" w:pos="720"/>
          <w:tab w:val="left" w:pos="1800"/>
        </w:tabs>
        <w:ind w:hanging="540"/>
        <w:rPr>
          <w:rFonts w:cs="Arial"/>
        </w:rPr>
      </w:pPr>
    </w:p>
    <w:sectPr w:rsidR="00931CCC">
      <w:pgSz w:w="12240" w:h="15840"/>
      <w:pgMar w:top="1440" w:right="1440" w:bottom="108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93E1A" w14:textId="77777777" w:rsidR="00B42CB9" w:rsidRDefault="00B42CB9">
      <w:r>
        <w:separator/>
      </w:r>
    </w:p>
  </w:endnote>
  <w:endnote w:type="continuationSeparator" w:id="0">
    <w:p w14:paraId="0CCDC9E2" w14:textId="77777777" w:rsidR="00B42CB9" w:rsidRDefault="00B4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charset w:val="00"/>
    <w:family w:val="auto"/>
    <w:pitch w:val="variable"/>
    <w:sig w:usb0="00000003" w:usb1="00000000" w:usb2="00000000" w:usb3="00000000" w:csb0="00000001" w:csb1="00000000"/>
  </w:font>
  <w:font w:name="Futura-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LTStd-Roman">
    <w:altName w:val="Palatino Linotype"/>
    <w:panose1 w:val="00000000000000000000"/>
    <w:charset w:val="4D"/>
    <w:family w:val="auto"/>
    <w:notTrueType/>
    <w:pitch w:val="default"/>
    <w:sig w:usb0="00000003" w:usb1="00000000" w:usb2="00000000" w:usb3="00000000" w:csb0="00000001" w:csb1="00000000"/>
  </w:font>
  <w:font w:name="HelveticaNeueLTStd-Roman">
    <w:panose1 w:val="00000000000000000000"/>
    <w:charset w:val="4D"/>
    <w:family w:val="auto"/>
    <w:notTrueType/>
    <w:pitch w:val="default"/>
    <w:sig w:usb0="00000003" w:usb1="00000000" w:usb2="00000000" w:usb3="00000000" w:csb0="00000001" w:csb1="00000000"/>
  </w:font>
  <w:font w:name="PalatinoLTStd-Bold">
    <w:panose1 w:val="00000000000000000000"/>
    <w:charset w:val="4D"/>
    <w:family w:val="auto"/>
    <w:notTrueType/>
    <w:pitch w:val="default"/>
    <w:sig w:usb0="00000003" w:usb1="00000000" w:usb2="00000000" w:usb3="00000000" w:csb0="00000001" w:csb1="00000000"/>
  </w:font>
  <w:font w:name="HelveticaNeueLTStd-BdIt">
    <w:panose1 w:val="00000000000000000000"/>
    <w:charset w:val="4D"/>
    <w:family w:val="auto"/>
    <w:notTrueType/>
    <w:pitch w:val="default"/>
    <w:sig w:usb0="00000003" w:usb1="00000000" w:usb2="00000000" w:usb3="00000000" w:csb0="00000001" w:csb1="00000000"/>
  </w:font>
  <w:font w:name="HelveticaNeueLTStd-It">
    <w:panose1 w:val="00000000000000000000"/>
    <w:charset w:val="4D"/>
    <w:family w:val="auto"/>
    <w:notTrueType/>
    <w:pitch w:val="default"/>
    <w:sig w:usb0="00000003" w:usb1="00000000" w:usb2="00000000" w:usb3="00000000" w:csb0="00000001" w:csb1="00000000"/>
  </w:font>
  <w:font w:name="MathematicalPiLTStd-1">
    <w:altName w:val="Cambria"/>
    <w:panose1 w:val="00000000000000000000"/>
    <w:charset w:val="4D"/>
    <w:family w:val="auto"/>
    <w:notTrueType/>
    <w:pitch w:val="default"/>
    <w:sig w:usb0="00000003" w:usb1="00000000" w:usb2="00000000" w:usb3="00000000" w:csb0="00000001" w:csb1="00000000"/>
  </w:font>
  <w:font w:name="HelveticaNeueLTStd-MdEx">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1DBE" w14:textId="237E7E68" w:rsidR="00A84D4B" w:rsidRDefault="00A84D4B">
    <w:pPr>
      <w:pStyle w:val="Footer"/>
      <w:tabs>
        <w:tab w:val="clear" w:pos="4320"/>
        <w:tab w:val="clear" w:pos="8640"/>
        <w:tab w:val="right" w:pos="9360"/>
      </w:tabs>
      <w:spacing w:before="40"/>
      <w:rPr>
        <w:rStyle w:val="PageNumber"/>
        <w:sz w:val="18"/>
      </w:rPr>
    </w:pPr>
    <w:r>
      <w:rPr>
        <w:noProof/>
        <w:sz w:val="18"/>
      </w:rPr>
      <mc:AlternateContent>
        <mc:Choice Requires="wps">
          <w:drawing>
            <wp:anchor distT="0" distB="0" distL="114300" distR="114300" simplePos="0" relativeHeight="251658240" behindDoc="0" locked="0" layoutInCell="0" allowOverlap="1" wp14:anchorId="5E441DC2" wp14:editId="5E441DC3">
              <wp:simplePos x="0" y="0"/>
              <wp:positionH relativeFrom="column">
                <wp:posOffset>-28575</wp:posOffset>
              </wp:positionH>
              <wp:positionV relativeFrom="paragraph">
                <wp:posOffset>190500</wp:posOffset>
              </wp:positionV>
              <wp:extent cx="6010275"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21CF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4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Er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" o:allowincell="f"/>
          </w:pict>
        </mc:Fallback>
      </mc:AlternateContent>
    </w:r>
    <w:r>
      <w:rPr>
        <w:rStyle w:val="PageNumber"/>
        <w:sz w:val="18"/>
      </w:rPr>
      <w:t xml:space="preserve">Copyright </w:t>
    </w:r>
    <w:r>
      <w:rPr>
        <w:rStyle w:val="PageNumber"/>
        <w:sz w:val="18"/>
      </w:rPr>
      <w:sym w:font="Symbol" w:char="F0D3"/>
    </w:r>
    <w:r>
      <w:rPr>
        <w:rStyle w:val="PageNumber"/>
        <w:sz w:val="18"/>
      </w:rPr>
      <w:t xml:space="preserve"> 2019 McGraw-Hill Education. All rights reserved.</w:t>
    </w:r>
  </w:p>
  <w:p w14:paraId="5E441DBF" w14:textId="6BE03942" w:rsidR="00A84D4B" w:rsidRDefault="00A84D4B">
    <w:pPr>
      <w:pStyle w:val="Footer"/>
      <w:tabs>
        <w:tab w:val="clear" w:pos="4320"/>
        <w:tab w:val="clear" w:pos="8640"/>
        <w:tab w:val="right" w:pos="9360"/>
      </w:tabs>
      <w:spacing w:before="40"/>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36</w:t>
    </w:r>
    <w:r>
      <w:rPr>
        <w:rStyle w:val="PageNumber"/>
        <w:sz w:val="18"/>
      </w:rPr>
      <w:fldChar w:fldCharType="end"/>
    </w:r>
    <w:r>
      <w:rPr>
        <w:rStyle w:val="PageNumber"/>
        <w:sz w:val="18"/>
      </w:rPr>
      <w:tab/>
    </w:r>
    <w:r>
      <w:rPr>
        <w:rStyle w:val="PageNumber"/>
        <w:i/>
        <w:sz w:val="18"/>
      </w:rPr>
      <w:t>Modern Advanced Accounting in Canada, Ninth</w:t>
    </w:r>
    <w:r>
      <w:rPr>
        <w:rStyle w:val="PageNumber"/>
        <w:sz w:val="18"/>
      </w:rPr>
      <w:t xml:space="preserve"> Edition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1DC0" w14:textId="14017AB0" w:rsidR="00A84D4B" w:rsidRDefault="00A84D4B">
    <w:pPr>
      <w:pStyle w:val="Footer"/>
      <w:tabs>
        <w:tab w:val="clear" w:pos="4320"/>
        <w:tab w:val="clear" w:pos="8640"/>
        <w:tab w:val="right" w:pos="9360"/>
      </w:tabs>
      <w:spacing w:before="40"/>
      <w:ind w:firstLine="360"/>
      <w:jc w:val="right"/>
      <w:rPr>
        <w:rStyle w:val="PageNumber"/>
        <w:sz w:val="18"/>
      </w:rPr>
    </w:pPr>
    <w:r>
      <w:rPr>
        <w:noProof/>
        <w:sz w:val="18"/>
      </w:rPr>
      <mc:AlternateContent>
        <mc:Choice Requires="wps">
          <w:drawing>
            <wp:anchor distT="0" distB="0" distL="114300" distR="114300" simplePos="0" relativeHeight="251657216" behindDoc="0" locked="0" layoutInCell="0" allowOverlap="1" wp14:anchorId="5E441DC4" wp14:editId="5E441DC5">
              <wp:simplePos x="0" y="0"/>
              <wp:positionH relativeFrom="column">
                <wp:posOffset>-28575</wp:posOffset>
              </wp:positionH>
              <wp:positionV relativeFrom="paragraph">
                <wp:posOffset>190500</wp:posOffset>
              </wp:positionV>
              <wp:extent cx="601027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8270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4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Q7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6gIZOnKUZ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" o:allowincell="f"/>
          </w:pict>
        </mc:Fallback>
      </mc:AlternateContent>
    </w:r>
    <w:r>
      <w:rPr>
        <w:rStyle w:val="PageNumber"/>
        <w:sz w:val="18"/>
      </w:rPr>
      <w:t xml:space="preserve">Copyright </w:t>
    </w:r>
    <w:r>
      <w:rPr>
        <w:rStyle w:val="PageNumber"/>
        <w:sz w:val="18"/>
      </w:rPr>
      <w:sym w:font="Symbol" w:char="F0D3"/>
    </w:r>
    <w:r>
      <w:rPr>
        <w:rStyle w:val="PageNumber"/>
        <w:sz w:val="18"/>
      </w:rPr>
      <w:t xml:space="preserve"> 2019 McGraw-Hill Education. All rights reserved.</w:t>
    </w:r>
  </w:p>
  <w:p w14:paraId="5E441DC1" w14:textId="77A094D9" w:rsidR="00A84D4B" w:rsidRDefault="00A84D4B">
    <w:pPr>
      <w:pStyle w:val="Footer"/>
      <w:tabs>
        <w:tab w:val="clear" w:pos="4320"/>
        <w:tab w:val="clear" w:pos="8640"/>
        <w:tab w:val="right" w:pos="9360"/>
      </w:tabs>
      <w:spacing w:before="40"/>
    </w:pPr>
    <w:r>
      <w:rPr>
        <w:rStyle w:val="PageNumber"/>
        <w:i/>
        <w:sz w:val="18"/>
      </w:rPr>
      <w:t xml:space="preserve">Solutions Manual, </w:t>
    </w:r>
    <w:r>
      <w:rPr>
        <w:rStyle w:val="PageNumber"/>
        <w:sz w:val="18"/>
      </w:rPr>
      <w:t>Chapter 1</w:t>
    </w:r>
    <w:r>
      <w:rPr>
        <w:rStyle w:val="PageNumber"/>
        <w:i/>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35</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A1241" w14:textId="77777777" w:rsidR="00B42CB9" w:rsidRDefault="00B42CB9">
      <w:r>
        <w:separator/>
      </w:r>
    </w:p>
  </w:footnote>
  <w:footnote w:type="continuationSeparator" w:id="0">
    <w:p w14:paraId="241C9155" w14:textId="77777777" w:rsidR="00B42CB9" w:rsidRDefault="00B42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BC66D6"/>
    <w:multiLevelType w:val="hybridMultilevel"/>
    <w:tmpl w:val="F1341AAA"/>
    <w:lvl w:ilvl="0" w:tplc="3DA2CAEA">
      <w:start w:val="1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60B74"/>
    <w:multiLevelType w:val="hybridMultilevel"/>
    <w:tmpl w:val="80269AAA"/>
    <w:lvl w:ilvl="0" w:tplc="C1BA7E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CE72036"/>
    <w:multiLevelType w:val="singleLevel"/>
    <w:tmpl w:val="6960FB60"/>
    <w:lvl w:ilvl="0">
      <w:start w:val="1"/>
      <w:numFmt w:val="decimal"/>
      <w:lvlText w:val="%1."/>
      <w:lvlJc w:val="left"/>
      <w:pPr>
        <w:tabs>
          <w:tab w:val="num" w:pos="720"/>
        </w:tabs>
        <w:ind w:left="720" w:hanging="360"/>
      </w:pPr>
      <w:rPr>
        <w:b/>
      </w:rPr>
    </w:lvl>
  </w:abstractNum>
  <w:abstractNum w:abstractNumId="4" w15:restartNumberingAfterBreak="0">
    <w:nsid w:val="121A22B8"/>
    <w:multiLevelType w:val="hybridMultilevel"/>
    <w:tmpl w:val="6950BDF6"/>
    <w:lvl w:ilvl="0" w:tplc="EF762C2E">
      <w:start w:val="8"/>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F4C57"/>
    <w:multiLevelType w:val="hybridMultilevel"/>
    <w:tmpl w:val="B1E2AA98"/>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A7208F"/>
    <w:multiLevelType w:val="hybridMultilevel"/>
    <w:tmpl w:val="D01ECD26"/>
    <w:lvl w:ilvl="0" w:tplc="72E65044">
      <w:start w:val="1"/>
      <w:numFmt w:val="lowerLetter"/>
      <w:lvlText w:val="%1)"/>
      <w:lvlJc w:val="left"/>
      <w:pPr>
        <w:tabs>
          <w:tab w:val="num" w:pos="750"/>
        </w:tabs>
        <w:ind w:left="750" w:hanging="360"/>
      </w:pPr>
      <w:rPr>
        <w:rFonts w:hint="default"/>
      </w:rPr>
    </w:lvl>
    <w:lvl w:ilvl="1" w:tplc="BEEE6928">
      <w:start w:val="2"/>
      <w:numFmt w:val="decimal"/>
      <w:lvlText w:val="%2)"/>
      <w:lvlJc w:val="left"/>
      <w:pPr>
        <w:tabs>
          <w:tab w:val="num" w:pos="1470"/>
        </w:tabs>
        <w:ind w:left="1470" w:hanging="360"/>
      </w:pPr>
      <w:rPr>
        <w:rFonts w:hint="default"/>
      </w:r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15:restartNumberingAfterBreak="0">
    <w:nsid w:val="153D0858"/>
    <w:multiLevelType w:val="hybridMultilevel"/>
    <w:tmpl w:val="DCB0F15A"/>
    <w:lvl w:ilvl="0" w:tplc="6380927A">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17B65464"/>
    <w:multiLevelType w:val="hybridMultilevel"/>
    <w:tmpl w:val="7E4CA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30D4D"/>
    <w:multiLevelType w:val="hybridMultilevel"/>
    <w:tmpl w:val="0250304E"/>
    <w:lvl w:ilvl="0" w:tplc="EF74E398">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25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8D108A"/>
    <w:multiLevelType w:val="hybridMultilevel"/>
    <w:tmpl w:val="84BCC5A6"/>
    <w:lvl w:ilvl="0" w:tplc="D1763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B0FEB"/>
    <w:multiLevelType w:val="hybridMultilevel"/>
    <w:tmpl w:val="DAE40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894ED8"/>
    <w:multiLevelType w:val="hybridMultilevel"/>
    <w:tmpl w:val="98149DA8"/>
    <w:lvl w:ilvl="0" w:tplc="B082E11C">
      <w:start w:val="2006"/>
      <w:numFmt w:val="decimal"/>
      <w:lvlText w:val="%1"/>
      <w:lvlJc w:val="left"/>
      <w:pPr>
        <w:tabs>
          <w:tab w:val="num" w:pos="4380"/>
        </w:tabs>
        <w:ind w:left="4380" w:hanging="1260"/>
      </w:pPr>
      <w:rPr>
        <w:rFonts w:hint="default"/>
      </w:rPr>
    </w:lvl>
    <w:lvl w:ilvl="1" w:tplc="04090019" w:tentative="1">
      <w:start w:val="1"/>
      <w:numFmt w:val="lowerLetter"/>
      <w:lvlText w:val="%2."/>
      <w:lvlJc w:val="left"/>
      <w:pPr>
        <w:tabs>
          <w:tab w:val="num" w:pos="4200"/>
        </w:tabs>
        <w:ind w:left="4200" w:hanging="360"/>
      </w:pPr>
    </w:lvl>
    <w:lvl w:ilvl="2" w:tplc="0409001B" w:tentative="1">
      <w:start w:val="1"/>
      <w:numFmt w:val="lowerRoman"/>
      <w:lvlText w:val="%3."/>
      <w:lvlJc w:val="right"/>
      <w:pPr>
        <w:tabs>
          <w:tab w:val="num" w:pos="4920"/>
        </w:tabs>
        <w:ind w:left="4920" w:hanging="180"/>
      </w:pPr>
    </w:lvl>
    <w:lvl w:ilvl="3" w:tplc="0409000F" w:tentative="1">
      <w:start w:val="1"/>
      <w:numFmt w:val="decimal"/>
      <w:lvlText w:val="%4."/>
      <w:lvlJc w:val="left"/>
      <w:pPr>
        <w:tabs>
          <w:tab w:val="num" w:pos="5640"/>
        </w:tabs>
        <w:ind w:left="5640" w:hanging="360"/>
      </w:pPr>
    </w:lvl>
    <w:lvl w:ilvl="4" w:tplc="04090019" w:tentative="1">
      <w:start w:val="1"/>
      <w:numFmt w:val="lowerLetter"/>
      <w:lvlText w:val="%5."/>
      <w:lvlJc w:val="left"/>
      <w:pPr>
        <w:tabs>
          <w:tab w:val="num" w:pos="6360"/>
        </w:tabs>
        <w:ind w:left="6360" w:hanging="360"/>
      </w:pPr>
    </w:lvl>
    <w:lvl w:ilvl="5" w:tplc="0409001B" w:tentative="1">
      <w:start w:val="1"/>
      <w:numFmt w:val="lowerRoman"/>
      <w:lvlText w:val="%6."/>
      <w:lvlJc w:val="right"/>
      <w:pPr>
        <w:tabs>
          <w:tab w:val="num" w:pos="7080"/>
        </w:tabs>
        <w:ind w:left="7080" w:hanging="180"/>
      </w:pPr>
    </w:lvl>
    <w:lvl w:ilvl="6" w:tplc="0409000F" w:tentative="1">
      <w:start w:val="1"/>
      <w:numFmt w:val="decimal"/>
      <w:lvlText w:val="%7."/>
      <w:lvlJc w:val="left"/>
      <w:pPr>
        <w:tabs>
          <w:tab w:val="num" w:pos="7800"/>
        </w:tabs>
        <w:ind w:left="7800" w:hanging="360"/>
      </w:pPr>
    </w:lvl>
    <w:lvl w:ilvl="7" w:tplc="04090019" w:tentative="1">
      <w:start w:val="1"/>
      <w:numFmt w:val="lowerLetter"/>
      <w:lvlText w:val="%8."/>
      <w:lvlJc w:val="left"/>
      <w:pPr>
        <w:tabs>
          <w:tab w:val="num" w:pos="8520"/>
        </w:tabs>
        <w:ind w:left="8520" w:hanging="360"/>
      </w:pPr>
    </w:lvl>
    <w:lvl w:ilvl="8" w:tplc="0409001B" w:tentative="1">
      <w:start w:val="1"/>
      <w:numFmt w:val="lowerRoman"/>
      <w:lvlText w:val="%9."/>
      <w:lvlJc w:val="right"/>
      <w:pPr>
        <w:tabs>
          <w:tab w:val="num" w:pos="9240"/>
        </w:tabs>
        <w:ind w:left="9240" w:hanging="180"/>
      </w:pPr>
    </w:lvl>
  </w:abstractNum>
  <w:abstractNum w:abstractNumId="14" w15:restartNumberingAfterBreak="0">
    <w:nsid w:val="21D409D3"/>
    <w:multiLevelType w:val="hybridMultilevel"/>
    <w:tmpl w:val="4E22C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6331E"/>
    <w:multiLevelType w:val="hybridMultilevel"/>
    <w:tmpl w:val="FC2A5C0A"/>
    <w:lvl w:ilvl="0" w:tplc="E3F6F4F4">
      <w:start w:val="2"/>
      <w:numFmt w:val="bullet"/>
      <w:lvlText w:val="-"/>
      <w:lvlJc w:val="left"/>
      <w:pPr>
        <w:tabs>
          <w:tab w:val="num" w:pos="364"/>
        </w:tabs>
        <w:ind w:left="364" w:hanging="360"/>
      </w:pPr>
      <w:rPr>
        <w:rFonts w:ascii="Times New Roman" w:eastAsia="Times New Roman" w:hAnsi="Times New Roman" w:cs="Times New Roman" w:hint="default"/>
      </w:rPr>
    </w:lvl>
    <w:lvl w:ilvl="1" w:tplc="04090003" w:tentative="1">
      <w:start w:val="1"/>
      <w:numFmt w:val="bullet"/>
      <w:lvlText w:val="o"/>
      <w:lvlJc w:val="left"/>
      <w:pPr>
        <w:tabs>
          <w:tab w:val="num" w:pos="1084"/>
        </w:tabs>
        <w:ind w:left="1084" w:hanging="360"/>
      </w:pPr>
      <w:rPr>
        <w:rFonts w:ascii="Courier New" w:hAnsi="Courier New" w:hint="default"/>
      </w:rPr>
    </w:lvl>
    <w:lvl w:ilvl="2" w:tplc="04090005" w:tentative="1">
      <w:start w:val="1"/>
      <w:numFmt w:val="bullet"/>
      <w:lvlText w:val=""/>
      <w:lvlJc w:val="left"/>
      <w:pPr>
        <w:tabs>
          <w:tab w:val="num" w:pos="1804"/>
        </w:tabs>
        <w:ind w:left="1804" w:hanging="360"/>
      </w:pPr>
      <w:rPr>
        <w:rFonts w:ascii="Wingdings" w:hAnsi="Wingdings" w:hint="default"/>
      </w:rPr>
    </w:lvl>
    <w:lvl w:ilvl="3" w:tplc="04090001" w:tentative="1">
      <w:start w:val="1"/>
      <w:numFmt w:val="bullet"/>
      <w:lvlText w:val=""/>
      <w:lvlJc w:val="left"/>
      <w:pPr>
        <w:tabs>
          <w:tab w:val="num" w:pos="2524"/>
        </w:tabs>
        <w:ind w:left="2524" w:hanging="360"/>
      </w:pPr>
      <w:rPr>
        <w:rFonts w:ascii="Symbol" w:hAnsi="Symbol" w:hint="default"/>
      </w:rPr>
    </w:lvl>
    <w:lvl w:ilvl="4" w:tplc="04090003" w:tentative="1">
      <w:start w:val="1"/>
      <w:numFmt w:val="bullet"/>
      <w:lvlText w:val="o"/>
      <w:lvlJc w:val="left"/>
      <w:pPr>
        <w:tabs>
          <w:tab w:val="num" w:pos="3244"/>
        </w:tabs>
        <w:ind w:left="3244" w:hanging="360"/>
      </w:pPr>
      <w:rPr>
        <w:rFonts w:ascii="Courier New" w:hAnsi="Courier New" w:hint="default"/>
      </w:rPr>
    </w:lvl>
    <w:lvl w:ilvl="5" w:tplc="04090005" w:tentative="1">
      <w:start w:val="1"/>
      <w:numFmt w:val="bullet"/>
      <w:lvlText w:val=""/>
      <w:lvlJc w:val="left"/>
      <w:pPr>
        <w:tabs>
          <w:tab w:val="num" w:pos="3964"/>
        </w:tabs>
        <w:ind w:left="3964" w:hanging="360"/>
      </w:pPr>
      <w:rPr>
        <w:rFonts w:ascii="Wingdings" w:hAnsi="Wingdings" w:hint="default"/>
      </w:rPr>
    </w:lvl>
    <w:lvl w:ilvl="6" w:tplc="04090001" w:tentative="1">
      <w:start w:val="1"/>
      <w:numFmt w:val="bullet"/>
      <w:lvlText w:val=""/>
      <w:lvlJc w:val="left"/>
      <w:pPr>
        <w:tabs>
          <w:tab w:val="num" w:pos="4684"/>
        </w:tabs>
        <w:ind w:left="4684" w:hanging="360"/>
      </w:pPr>
      <w:rPr>
        <w:rFonts w:ascii="Symbol" w:hAnsi="Symbol" w:hint="default"/>
      </w:rPr>
    </w:lvl>
    <w:lvl w:ilvl="7" w:tplc="04090003" w:tentative="1">
      <w:start w:val="1"/>
      <w:numFmt w:val="bullet"/>
      <w:lvlText w:val="o"/>
      <w:lvlJc w:val="left"/>
      <w:pPr>
        <w:tabs>
          <w:tab w:val="num" w:pos="5404"/>
        </w:tabs>
        <w:ind w:left="5404" w:hanging="360"/>
      </w:pPr>
      <w:rPr>
        <w:rFonts w:ascii="Courier New" w:hAnsi="Courier New" w:hint="default"/>
      </w:rPr>
    </w:lvl>
    <w:lvl w:ilvl="8" w:tplc="04090005" w:tentative="1">
      <w:start w:val="1"/>
      <w:numFmt w:val="bullet"/>
      <w:lvlText w:val=""/>
      <w:lvlJc w:val="left"/>
      <w:pPr>
        <w:tabs>
          <w:tab w:val="num" w:pos="6124"/>
        </w:tabs>
        <w:ind w:left="6124" w:hanging="360"/>
      </w:pPr>
      <w:rPr>
        <w:rFonts w:ascii="Wingdings" w:hAnsi="Wingdings" w:hint="default"/>
      </w:rPr>
    </w:lvl>
  </w:abstractNum>
  <w:abstractNum w:abstractNumId="16" w15:restartNumberingAfterBreak="0">
    <w:nsid w:val="26B80F34"/>
    <w:multiLevelType w:val="hybridMultilevel"/>
    <w:tmpl w:val="ED847ED4"/>
    <w:lvl w:ilvl="0" w:tplc="E326B3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773DA"/>
    <w:multiLevelType w:val="hybridMultilevel"/>
    <w:tmpl w:val="CC88FA26"/>
    <w:lvl w:ilvl="0" w:tplc="EF74E398">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14D1C"/>
    <w:multiLevelType w:val="singleLevel"/>
    <w:tmpl w:val="C41ABEEC"/>
    <w:lvl w:ilvl="0">
      <w:start w:val="1"/>
      <w:numFmt w:val="decimal"/>
      <w:lvlText w:val="%1."/>
      <w:lvlJc w:val="left"/>
      <w:pPr>
        <w:tabs>
          <w:tab w:val="num" w:pos="660"/>
        </w:tabs>
        <w:ind w:left="660" w:hanging="360"/>
      </w:pPr>
      <w:rPr>
        <w:rFonts w:hint="default"/>
      </w:rPr>
    </w:lvl>
  </w:abstractNum>
  <w:abstractNum w:abstractNumId="19" w15:restartNumberingAfterBreak="0">
    <w:nsid w:val="2F2437CC"/>
    <w:multiLevelType w:val="hybridMultilevel"/>
    <w:tmpl w:val="6366B8C8"/>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3244E5"/>
    <w:multiLevelType w:val="hybridMultilevel"/>
    <w:tmpl w:val="8B8E3A60"/>
    <w:lvl w:ilvl="0" w:tplc="E356FC30">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15:restartNumberingAfterBreak="0">
    <w:nsid w:val="334E67A9"/>
    <w:multiLevelType w:val="hybridMultilevel"/>
    <w:tmpl w:val="2A62539E"/>
    <w:lvl w:ilvl="0" w:tplc="E3D861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772910"/>
    <w:multiLevelType w:val="hybridMultilevel"/>
    <w:tmpl w:val="58AA0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26245B"/>
    <w:multiLevelType w:val="hybridMultilevel"/>
    <w:tmpl w:val="FE1E6CBA"/>
    <w:lvl w:ilvl="0" w:tplc="04090013">
      <w:start w:val="1"/>
      <w:numFmt w:val="upperRoman"/>
      <w:lvlText w:val="%1."/>
      <w:lvlJc w:val="right"/>
      <w:pPr>
        <w:tabs>
          <w:tab w:val="num" w:pos="240"/>
        </w:tabs>
        <w:ind w:left="24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412AE9"/>
    <w:multiLevelType w:val="hybridMultilevel"/>
    <w:tmpl w:val="B25E4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027B23"/>
    <w:multiLevelType w:val="hybridMultilevel"/>
    <w:tmpl w:val="6B365F0C"/>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BD3C3A"/>
    <w:multiLevelType w:val="hybridMultilevel"/>
    <w:tmpl w:val="72024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006E8"/>
    <w:multiLevelType w:val="hybridMultilevel"/>
    <w:tmpl w:val="6B367886"/>
    <w:lvl w:ilvl="0" w:tplc="CA3035F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107D6C"/>
    <w:multiLevelType w:val="singleLevel"/>
    <w:tmpl w:val="04090019"/>
    <w:lvl w:ilvl="0">
      <w:start w:val="1"/>
      <w:numFmt w:val="lowerLetter"/>
      <w:lvlText w:val="(%1)"/>
      <w:lvlJc w:val="left"/>
      <w:pPr>
        <w:tabs>
          <w:tab w:val="num" w:pos="360"/>
        </w:tabs>
        <w:ind w:left="360" w:hanging="360"/>
      </w:pPr>
      <w:rPr>
        <w:rFonts w:hint="default"/>
      </w:rPr>
    </w:lvl>
  </w:abstractNum>
  <w:abstractNum w:abstractNumId="29" w15:restartNumberingAfterBreak="0">
    <w:nsid w:val="445C50E1"/>
    <w:multiLevelType w:val="hybridMultilevel"/>
    <w:tmpl w:val="0D84F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9D4344"/>
    <w:multiLevelType w:val="hybridMultilevel"/>
    <w:tmpl w:val="6F8A74BC"/>
    <w:lvl w:ilvl="0" w:tplc="B71C2AEA">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F73BE3"/>
    <w:multiLevelType w:val="hybridMultilevel"/>
    <w:tmpl w:val="623E3992"/>
    <w:lvl w:ilvl="0" w:tplc="0409000F">
      <w:start w:val="1"/>
      <w:numFmt w:val="decimal"/>
      <w:lvlText w:val="%1."/>
      <w:lvlJc w:val="left"/>
      <w:pPr>
        <w:tabs>
          <w:tab w:val="num" w:pos="749"/>
        </w:tabs>
        <w:ind w:left="749" w:hanging="360"/>
      </w:pPr>
    </w:lvl>
    <w:lvl w:ilvl="1" w:tplc="04090019" w:tentative="1">
      <w:start w:val="1"/>
      <w:numFmt w:val="lowerLetter"/>
      <w:lvlText w:val="%2."/>
      <w:lvlJc w:val="left"/>
      <w:pPr>
        <w:tabs>
          <w:tab w:val="num" w:pos="1469"/>
        </w:tabs>
        <w:ind w:left="1469" w:hanging="360"/>
      </w:pPr>
    </w:lvl>
    <w:lvl w:ilvl="2" w:tplc="0409001B" w:tentative="1">
      <w:start w:val="1"/>
      <w:numFmt w:val="lowerRoman"/>
      <w:lvlText w:val="%3."/>
      <w:lvlJc w:val="right"/>
      <w:pPr>
        <w:tabs>
          <w:tab w:val="num" w:pos="2189"/>
        </w:tabs>
        <w:ind w:left="2189" w:hanging="180"/>
      </w:pPr>
    </w:lvl>
    <w:lvl w:ilvl="3" w:tplc="0409000F" w:tentative="1">
      <w:start w:val="1"/>
      <w:numFmt w:val="decimal"/>
      <w:lvlText w:val="%4."/>
      <w:lvlJc w:val="left"/>
      <w:pPr>
        <w:tabs>
          <w:tab w:val="num" w:pos="2909"/>
        </w:tabs>
        <w:ind w:left="2909" w:hanging="360"/>
      </w:pPr>
    </w:lvl>
    <w:lvl w:ilvl="4" w:tplc="04090019" w:tentative="1">
      <w:start w:val="1"/>
      <w:numFmt w:val="lowerLetter"/>
      <w:lvlText w:val="%5."/>
      <w:lvlJc w:val="left"/>
      <w:pPr>
        <w:tabs>
          <w:tab w:val="num" w:pos="3629"/>
        </w:tabs>
        <w:ind w:left="3629" w:hanging="360"/>
      </w:pPr>
    </w:lvl>
    <w:lvl w:ilvl="5" w:tplc="0409001B" w:tentative="1">
      <w:start w:val="1"/>
      <w:numFmt w:val="lowerRoman"/>
      <w:lvlText w:val="%6."/>
      <w:lvlJc w:val="right"/>
      <w:pPr>
        <w:tabs>
          <w:tab w:val="num" w:pos="4349"/>
        </w:tabs>
        <w:ind w:left="4349" w:hanging="180"/>
      </w:pPr>
    </w:lvl>
    <w:lvl w:ilvl="6" w:tplc="0409000F" w:tentative="1">
      <w:start w:val="1"/>
      <w:numFmt w:val="decimal"/>
      <w:lvlText w:val="%7."/>
      <w:lvlJc w:val="left"/>
      <w:pPr>
        <w:tabs>
          <w:tab w:val="num" w:pos="5069"/>
        </w:tabs>
        <w:ind w:left="5069" w:hanging="360"/>
      </w:pPr>
    </w:lvl>
    <w:lvl w:ilvl="7" w:tplc="04090019" w:tentative="1">
      <w:start w:val="1"/>
      <w:numFmt w:val="lowerLetter"/>
      <w:lvlText w:val="%8."/>
      <w:lvlJc w:val="left"/>
      <w:pPr>
        <w:tabs>
          <w:tab w:val="num" w:pos="5789"/>
        </w:tabs>
        <w:ind w:left="5789" w:hanging="360"/>
      </w:pPr>
    </w:lvl>
    <w:lvl w:ilvl="8" w:tplc="0409001B" w:tentative="1">
      <w:start w:val="1"/>
      <w:numFmt w:val="lowerRoman"/>
      <w:lvlText w:val="%9."/>
      <w:lvlJc w:val="right"/>
      <w:pPr>
        <w:tabs>
          <w:tab w:val="num" w:pos="6509"/>
        </w:tabs>
        <w:ind w:left="6509" w:hanging="180"/>
      </w:pPr>
    </w:lvl>
  </w:abstractNum>
  <w:abstractNum w:abstractNumId="32" w15:restartNumberingAfterBreak="0">
    <w:nsid w:val="480364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BB112E4"/>
    <w:multiLevelType w:val="hybridMultilevel"/>
    <w:tmpl w:val="E4D6690E"/>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141056"/>
    <w:multiLevelType w:val="hybridMultilevel"/>
    <w:tmpl w:val="C48E2C3C"/>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F55763"/>
    <w:multiLevelType w:val="hybridMultilevel"/>
    <w:tmpl w:val="58AA0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5E1153"/>
    <w:multiLevelType w:val="hybridMultilevel"/>
    <w:tmpl w:val="9F40C8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37E5398"/>
    <w:multiLevelType w:val="hybridMultilevel"/>
    <w:tmpl w:val="621EAEF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8" w15:restartNumberingAfterBreak="0">
    <w:nsid w:val="53D13FFB"/>
    <w:multiLevelType w:val="hybridMultilevel"/>
    <w:tmpl w:val="65249B3A"/>
    <w:lvl w:ilvl="0" w:tplc="3F82C3C2">
      <w:start w:val="2006"/>
      <w:numFmt w:val="decimal"/>
      <w:lvlText w:val="%1"/>
      <w:lvlJc w:val="left"/>
      <w:pPr>
        <w:tabs>
          <w:tab w:val="num" w:pos="4560"/>
        </w:tabs>
        <w:ind w:left="4560" w:hanging="1380"/>
      </w:pPr>
      <w:rPr>
        <w:rFonts w:hint="default"/>
      </w:rPr>
    </w:lvl>
    <w:lvl w:ilvl="1" w:tplc="04090019" w:tentative="1">
      <w:start w:val="1"/>
      <w:numFmt w:val="lowerLetter"/>
      <w:lvlText w:val="%2."/>
      <w:lvlJc w:val="left"/>
      <w:pPr>
        <w:tabs>
          <w:tab w:val="num" w:pos="4260"/>
        </w:tabs>
        <w:ind w:left="4260" w:hanging="360"/>
      </w:pPr>
    </w:lvl>
    <w:lvl w:ilvl="2" w:tplc="0409001B" w:tentative="1">
      <w:start w:val="1"/>
      <w:numFmt w:val="lowerRoman"/>
      <w:lvlText w:val="%3."/>
      <w:lvlJc w:val="right"/>
      <w:pPr>
        <w:tabs>
          <w:tab w:val="num" w:pos="4980"/>
        </w:tabs>
        <w:ind w:left="4980" w:hanging="180"/>
      </w:pPr>
    </w:lvl>
    <w:lvl w:ilvl="3" w:tplc="0409000F" w:tentative="1">
      <w:start w:val="1"/>
      <w:numFmt w:val="decimal"/>
      <w:lvlText w:val="%4."/>
      <w:lvlJc w:val="left"/>
      <w:pPr>
        <w:tabs>
          <w:tab w:val="num" w:pos="5700"/>
        </w:tabs>
        <w:ind w:left="5700" w:hanging="360"/>
      </w:pPr>
    </w:lvl>
    <w:lvl w:ilvl="4" w:tplc="04090019" w:tentative="1">
      <w:start w:val="1"/>
      <w:numFmt w:val="lowerLetter"/>
      <w:lvlText w:val="%5."/>
      <w:lvlJc w:val="left"/>
      <w:pPr>
        <w:tabs>
          <w:tab w:val="num" w:pos="6420"/>
        </w:tabs>
        <w:ind w:left="6420" w:hanging="360"/>
      </w:pPr>
    </w:lvl>
    <w:lvl w:ilvl="5" w:tplc="0409001B" w:tentative="1">
      <w:start w:val="1"/>
      <w:numFmt w:val="lowerRoman"/>
      <w:lvlText w:val="%6."/>
      <w:lvlJc w:val="right"/>
      <w:pPr>
        <w:tabs>
          <w:tab w:val="num" w:pos="7140"/>
        </w:tabs>
        <w:ind w:left="7140" w:hanging="180"/>
      </w:pPr>
    </w:lvl>
    <w:lvl w:ilvl="6" w:tplc="0409000F" w:tentative="1">
      <w:start w:val="1"/>
      <w:numFmt w:val="decimal"/>
      <w:lvlText w:val="%7."/>
      <w:lvlJc w:val="left"/>
      <w:pPr>
        <w:tabs>
          <w:tab w:val="num" w:pos="7860"/>
        </w:tabs>
        <w:ind w:left="7860" w:hanging="360"/>
      </w:pPr>
    </w:lvl>
    <w:lvl w:ilvl="7" w:tplc="04090019" w:tentative="1">
      <w:start w:val="1"/>
      <w:numFmt w:val="lowerLetter"/>
      <w:lvlText w:val="%8."/>
      <w:lvlJc w:val="left"/>
      <w:pPr>
        <w:tabs>
          <w:tab w:val="num" w:pos="8580"/>
        </w:tabs>
        <w:ind w:left="8580" w:hanging="360"/>
      </w:pPr>
    </w:lvl>
    <w:lvl w:ilvl="8" w:tplc="0409001B" w:tentative="1">
      <w:start w:val="1"/>
      <w:numFmt w:val="lowerRoman"/>
      <w:lvlText w:val="%9."/>
      <w:lvlJc w:val="right"/>
      <w:pPr>
        <w:tabs>
          <w:tab w:val="num" w:pos="9300"/>
        </w:tabs>
        <w:ind w:left="9300" w:hanging="180"/>
      </w:pPr>
    </w:lvl>
  </w:abstractNum>
  <w:abstractNum w:abstractNumId="39" w15:restartNumberingAfterBreak="0">
    <w:nsid w:val="53F76AF1"/>
    <w:multiLevelType w:val="hybridMultilevel"/>
    <w:tmpl w:val="B9185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57C4F9B"/>
    <w:multiLevelType w:val="singleLevel"/>
    <w:tmpl w:val="BB98528E"/>
    <w:lvl w:ilvl="0">
      <w:start w:val="1"/>
      <w:numFmt w:val="decimal"/>
      <w:lvlText w:val="%1."/>
      <w:legacy w:legacy="1" w:legacySpace="0" w:legacyIndent="0"/>
      <w:lvlJc w:val="left"/>
      <w:rPr>
        <w:rFonts w:ascii="Times New Roman" w:hAnsi="Times New Roman" w:hint="default"/>
      </w:rPr>
    </w:lvl>
  </w:abstractNum>
  <w:abstractNum w:abstractNumId="41" w15:restartNumberingAfterBreak="0">
    <w:nsid w:val="58F151B4"/>
    <w:multiLevelType w:val="hybridMultilevel"/>
    <w:tmpl w:val="74567EA6"/>
    <w:lvl w:ilvl="0" w:tplc="A740CCB4">
      <w:start w:val="4"/>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15:restartNumberingAfterBreak="0">
    <w:nsid w:val="59154CE8"/>
    <w:multiLevelType w:val="multilevel"/>
    <w:tmpl w:val="2FFAF12A"/>
    <w:lvl w:ilvl="0">
      <w:start w:val="1"/>
      <w:numFmt w:val="decimal"/>
      <w:lvlText w:val="%1."/>
      <w:lvlJc w:val="left"/>
      <w:pPr>
        <w:ind w:left="360" w:hanging="360"/>
      </w:pPr>
      <w:rPr>
        <w:rFonts w:hint="default"/>
      </w:rPr>
    </w:lvl>
    <w:lvl w:ilvl="1">
      <w:start w:val="3"/>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B2736F6"/>
    <w:multiLevelType w:val="hybridMultilevel"/>
    <w:tmpl w:val="4E5476AA"/>
    <w:lvl w:ilvl="0" w:tplc="B71C2AEA">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F416BE"/>
    <w:multiLevelType w:val="hybridMultilevel"/>
    <w:tmpl w:val="55D2D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25530DE"/>
    <w:multiLevelType w:val="hybridMultilevel"/>
    <w:tmpl w:val="D78CD14C"/>
    <w:lvl w:ilvl="0" w:tplc="0CC2D0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DB397B"/>
    <w:multiLevelType w:val="hybridMultilevel"/>
    <w:tmpl w:val="CE2C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0868BE"/>
    <w:multiLevelType w:val="hybridMultilevel"/>
    <w:tmpl w:val="E2E4D204"/>
    <w:lvl w:ilvl="0" w:tplc="4AB8043C">
      <w:start w:val="2006"/>
      <w:numFmt w:val="decimal"/>
      <w:lvlText w:val="%1"/>
      <w:lvlJc w:val="left"/>
      <w:pPr>
        <w:tabs>
          <w:tab w:val="num" w:pos="4860"/>
        </w:tabs>
        <w:ind w:left="4860" w:hanging="1500"/>
      </w:pPr>
      <w:rPr>
        <w:rFonts w:hint="default"/>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abstractNum w:abstractNumId="48" w15:restartNumberingAfterBreak="0">
    <w:nsid w:val="68097BA6"/>
    <w:multiLevelType w:val="hybridMultilevel"/>
    <w:tmpl w:val="720246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6D6158"/>
    <w:multiLevelType w:val="hybridMultilevel"/>
    <w:tmpl w:val="D68C5CDA"/>
    <w:lvl w:ilvl="0" w:tplc="3DA2CAEA">
      <w:start w:val="12"/>
      <w:numFmt w:val="decimal"/>
      <w:lvlText w:val="%1."/>
      <w:lvlJc w:val="left"/>
      <w:pPr>
        <w:tabs>
          <w:tab w:val="num" w:pos="420"/>
        </w:tabs>
        <w:ind w:left="420" w:hanging="360"/>
      </w:pPr>
      <w:rPr>
        <w:rFonts w:hint="default"/>
      </w:rPr>
    </w:lvl>
    <w:lvl w:ilvl="1" w:tplc="2932D51A">
      <w:start w:val="1"/>
      <w:numFmt w:val="lowerLetter"/>
      <w:lvlText w:val="(%2)"/>
      <w:lvlJc w:val="left"/>
      <w:pPr>
        <w:tabs>
          <w:tab w:val="num" w:pos="1140"/>
        </w:tabs>
        <w:ind w:left="1140" w:hanging="3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0" w15:restartNumberingAfterBreak="0">
    <w:nsid w:val="6F170D05"/>
    <w:multiLevelType w:val="singleLevel"/>
    <w:tmpl w:val="4126E0E0"/>
    <w:lvl w:ilvl="0">
      <w:start w:val="1"/>
      <w:numFmt w:val="decimal"/>
      <w:lvlText w:val="%1."/>
      <w:legacy w:legacy="1" w:legacySpace="0" w:legacyIndent="0"/>
      <w:lvlJc w:val="left"/>
      <w:rPr>
        <w:rFonts w:ascii="Times New Roman" w:hAnsi="Times New Roman" w:hint="default"/>
      </w:rPr>
    </w:lvl>
  </w:abstractNum>
  <w:abstractNum w:abstractNumId="51" w15:restartNumberingAfterBreak="0">
    <w:nsid w:val="71715BAA"/>
    <w:multiLevelType w:val="hybridMultilevel"/>
    <w:tmpl w:val="BD70EF68"/>
    <w:lvl w:ilvl="0" w:tplc="B71C2AEA">
      <w:start w:val="3"/>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2" w15:restartNumberingAfterBreak="0">
    <w:nsid w:val="731242E5"/>
    <w:multiLevelType w:val="hybridMultilevel"/>
    <w:tmpl w:val="6FC080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3555583"/>
    <w:multiLevelType w:val="hybridMultilevel"/>
    <w:tmpl w:val="AA145574"/>
    <w:lvl w:ilvl="0" w:tplc="2DA6AEF0">
      <w:start w:val="1"/>
      <w:numFmt w:val="decimal"/>
      <w:lvlText w:val="%1."/>
      <w:lvlJc w:val="left"/>
      <w:pPr>
        <w:tabs>
          <w:tab w:val="num" w:pos="720"/>
        </w:tabs>
        <w:ind w:left="720" w:hanging="360"/>
      </w:pPr>
      <w:rPr>
        <w:rFonts w:hint="default"/>
        <w:b/>
      </w:rPr>
    </w:lvl>
    <w:lvl w:ilvl="1" w:tplc="67742A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661287"/>
    <w:multiLevelType w:val="hybridMultilevel"/>
    <w:tmpl w:val="89ACF9A8"/>
    <w:lvl w:ilvl="0" w:tplc="EBC80BD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7A7819CE"/>
    <w:multiLevelType w:val="hybridMultilevel"/>
    <w:tmpl w:val="6272357E"/>
    <w:lvl w:ilvl="0" w:tplc="1A429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DAF6F65"/>
    <w:multiLevelType w:val="hybridMultilevel"/>
    <w:tmpl w:val="A5A6660C"/>
    <w:lvl w:ilvl="0" w:tplc="0CC2D0C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D61EBC"/>
    <w:multiLevelType w:val="hybridMultilevel"/>
    <w:tmpl w:val="B90E0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10"/>
  </w:num>
  <w:num w:numId="4">
    <w:abstractNumId w:val="18"/>
  </w:num>
  <w:num w:numId="5">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6"/>
  </w:num>
  <w:num w:numId="7">
    <w:abstractNumId w:val="17"/>
  </w:num>
  <w:num w:numId="8">
    <w:abstractNumId w:val="9"/>
  </w:num>
  <w:num w:numId="9">
    <w:abstractNumId w:val="2"/>
  </w:num>
  <w:num w:numId="10">
    <w:abstractNumId w:val="13"/>
  </w:num>
  <w:num w:numId="11">
    <w:abstractNumId w:val="38"/>
  </w:num>
  <w:num w:numId="12">
    <w:abstractNumId w:val="47"/>
  </w:num>
  <w:num w:numId="13">
    <w:abstractNumId w:val="49"/>
  </w:num>
  <w:num w:numId="14">
    <w:abstractNumId w:val="28"/>
  </w:num>
  <w:num w:numId="15">
    <w:abstractNumId w:val="51"/>
  </w:num>
  <w:num w:numId="16">
    <w:abstractNumId w:val="1"/>
  </w:num>
  <w:num w:numId="17">
    <w:abstractNumId w:val="23"/>
  </w:num>
  <w:num w:numId="18">
    <w:abstractNumId w:val="30"/>
  </w:num>
  <w:num w:numId="19">
    <w:abstractNumId w:val="43"/>
  </w:num>
  <w:num w:numId="20">
    <w:abstractNumId w:val="19"/>
  </w:num>
  <w:num w:numId="21">
    <w:abstractNumId w:val="57"/>
  </w:num>
  <w:num w:numId="22">
    <w:abstractNumId w:val="26"/>
  </w:num>
  <w:num w:numId="23">
    <w:abstractNumId w:val="48"/>
  </w:num>
  <w:num w:numId="24">
    <w:abstractNumId w:val="14"/>
  </w:num>
  <w:num w:numId="25">
    <w:abstractNumId w:val="12"/>
  </w:num>
  <w:num w:numId="26">
    <w:abstractNumId w:val="44"/>
  </w:num>
  <w:num w:numId="27">
    <w:abstractNumId w:val="39"/>
  </w:num>
  <w:num w:numId="28">
    <w:abstractNumId w:val="24"/>
  </w:num>
  <w:num w:numId="29">
    <w:abstractNumId w:val="5"/>
  </w:num>
  <w:num w:numId="30">
    <w:abstractNumId w:val="55"/>
  </w:num>
  <w:num w:numId="31">
    <w:abstractNumId w:val="33"/>
  </w:num>
  <w:num w:numId="32">
    <w:abstractNumId w:val="34"/>
  </w:num>
  <w:num w:numId="33">
    <w:abstractNumId w:val="25"/>
  </w:num>
  <w:num w:numId="34">
    <w:abstractNumId w:val="29"/>
  </w:num>
  <w:num w:numId="35">
    <w:abstractNumId w:val="37"/>
  </w:num>
  <w:num w:numId="36">
    <w:abstractNumId w:val="36"/>
  </w:num>
  <w:num w:numId="37">
    <w:abstractNumId w:val="50"/>
  </w:num>
  <w:num w:numId="38">
    <w:abstractNumId w:val="50"/>
    <w:lvlOverride w:ilvl="0">
      <w:lvl w:ilvl="0">
        <w:start w:val="2"/>
        <w:numFmt w:val="decimal"/>
        <w:lvlText w:val="%1."/>
        <w:legacy w:legacy="1" w:legacySpace="0" w:legacyIndent="0"/>
        <w:lvlJc w:val="left"/>
        <w:rPr>
          <w:rFonts w:ascii="Times New Roman" w:hAnsi="Times New Roman" w:hint="default"/>
        </w:rPr>
      </w:lvl>
    </w:lvlOverride>
  </w:num>
  <w:num w:numId="39">
    <w:abstractNumId w:val="52"/>
  </w:num>
  <w:num w:numId="40">
    <w:abstractNumId w:val="54"/>
  </w:num>
  <w:num w:numId="41">
    <w:abstractNumId w:val="41"/>
  </w:num>
  <w:num w:numId="42">
    <w:abstractNumId w:val="31"/>
  </w:num>
  <w:num w:numId="43">
    <w:abstractNumId w:val="40"/>
  </w:num>
  <w:num w:numId="44">
    <w:abstractNumId w:val="8"/>
  </w:num>
  <w:num w:numId="45">
    <w:abstractNumId w:val="46"/>
  </w:num>
  <w:num w:numId="46">
    <w:abstractNumId w:val="15"/>
  </w:num>
  <w:num w:numId="47">
    <w:abstractNumId w:val="4"/>
  </w:num>
  <w:num w:numId="48">
    <w:abstractNumId w:val="53"/>
  </w:num>
  <w:num w:numId="49">
    <w:abstractNumId w:val="42"/>
  </w:num>
  <w:num w:numId="50">
    <w:abstractNumId w:val="21"/>
  </w:num>
  <w:num w:numId="51">
    <w:abstractNumId w:val="7"/>
  </w:num>
  <w:num w:numId="52">
    <w:abstractNumId w:val="16"/>
  </w:num>
  <w:num w:numId="53">
    <w:abstractNumId w:val="20"/>
  </w:num>
  <w:num w:numId="54">
    <w:abstractNumId w:val="22"/>
  </w:num>
  <w:num w:numId="55">
    <w:abstractNumId w:val="35"/>
  </w:num>
  <w:num w:numId="56">
    <w:abstractNumId w:val="45"/>
  </w:num>
  <w:num w:numId="57">
    <w:abstractNumId w:val="56"/>
  </w:num>
  <w:num w:numId="58">
    <w:abstractNumId w:val="11"/>
  </w:num>
  <w:num w:numId="59">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8A8"/>
    <w:rsid w:val="000029BA"/>
    <w:rsid w:val="00006E7F"/>
    <w:rsid w:val="00042962"/>
    <w:rsid w:val="00051E51"/>
    <w:rsid w:val="0008179D"/>
    <w:rsid w:val="000B052E"/>
    <w:rsid w:val="000F0766"/>
    <w:rsid w:val="00133F56"/>
    <w:rsid w:val="00163C31"/>
    <w:rsid w:val="00165510"/>
    <w:rsid w:val="00173631"/>
    <w:rsid w:val="001738C9"/>
    <w:rsid w:val="00181D67"/>
    <w:rsid w:val="00194E85"/>
    <w:rsid w:val="00195C43"/>
    <w:rsid w:val="001B3F0A"/>
    <w:rsid w:val="001D5D6B"/>
    <w:rsid w:val="001E132C"/>
    <w:rsid w:val="001E22B1"/>
    <w:rsid w:val="001E35EA"/>
    <w:rsid w:val="001F0188"/>
    <w:rsid w:val="00205818"/>
    <w:rsid w:val="002155B5"/>
    <w:rsid w:val="00233A56"/>
    <w:rsid w:val="00237B5F"/>
    <w:rsid w:val="002568A8"/>
    <w:rsid w:val="002C52DF"/>
    <w:rsid w:val="002C5611"/>
    <w:rsid w:val="003517E4"/>
    <w:rsid w:val="0037313C"/>
    <w:rsid w:val="00383F5D"/>
    <w:rsid w:val="00387634"/>
    <w:rsid w:val="003935F0"/>
    <w:rsid w:val="003C2C94"/>
    <w:rsid w:val="003C2E83"/>
    <w:rsid w:val="003D0A23"/>
    <w:rsid w:val="003D2EEB"/>
    <w:rsid w:val="003F0E72"/>
    <w:rsid w:val="00400362"/>
    <w:rsid w:val="004467C8"/>
    <w:rsid w:val="00464A41"/>
    <w:rsid w:val="0047435A"/>
    <w:rsid w:val="00480113"/>
    <w:rsid w:val="004C3223"/>
    <w:rsid w:val="004F08F6"/>
    <w:rsid w:val="00515115"/>
    <w:rsid w:val="005234F8"/>
    <w:rsid w:val="00563F6C"/>
    <w:rsid w:val="005B1507"/>
    <w:rsid w:val="005B2BAD"/>
    <w:rsid w:val="005B63B3"/>
    <w:rsid w:val="005C74E9"/>
    <w:rsid w:val="00602483"/>
    <w:rsid w:val="00606504"/>
    <w:rsid w:val="00625939"/>
    <w:rsid w:val="006317C2"/>
    <w:rsid w:val="00671623"/>
    <w:rsid w:val="00674F6A"/>
    <w:rsid w:val="00694DB8"/>
    <w:rsid w:val="006B430C"/>
    <w:rsid w:val="006B5DF0"/>
    <w:rsid w:val="006D6641"/>
    <w:rsid w:val="006F3822"/>
    <w:rsid w:val="006F7BC8"/>
    <w:rsid w:val="00703F1E"/>
    <w:rsid w:val="00766D36"/>
    <w:rsid w:val="007C1783"/>
    <w:rsid w:val="007C423A"/>
    <w:rsid w:val="007D1AC9"/>
    <w:rsid w:val="007D57E3"/>
    <w:rsid w:val="007E1D6F"/>
    <w:rsid w:val="007F2533"/>
    <w:rsid w:val="008121FA"/>
    <w:rsid w:val="00832388"/>
    <w:rsid w:val="00840DC3"/>
    <w:rsid w:val="00845177"/>
    <w:rsid w:val="00855A37"/>
    <w:rsid w:val="008620BB"/>
    <w:rsid w:val="0086702B"/>
    <w:rsid w:val="008A0BCD"/>
    <w:rsid w:val="008A1230"/>
    <w:rsid w:val="008C70F8"/>
    <w:rsid w:val="008D3619"/>
    <w:rsid w:val="008E0D5C"/>
    <w:rsid w:val="00931CCC"/>
    <w:rsid w:val="00934F24"/>
    <w:rsid w:val="00966C4A"/>
    <w:rsid w:val="00973E54"/>
    <w:rsid w:val="00973E9C"/>
    <w:rsid w:val="009902C7"/>
    <w:rsid w:val="009B3138"/>
    <w:rsid w:val="009C17AB"/>
    <w:rsid w:val="009D41A7"/>
    <w:rsid w:val="009E12B2"/>
    <w:rsid w:val="00A6276C"/>
    <w:rsid w:val="00A73C0C"/>
    <w:rsid w:val="00A7728F"/>
    <w:rsid w:val="00A84D4B"/>
    <w:rsid w:val="00AD728F"/>
    <w:rsid w:val="00AE13FE"/>
    <w:rsid w:val="00AF5FFD"/>
    <w:rsid w:val="00B3120D"/>
    <w:rsid w:val="00B36514"/>
    <w:rsid w:val="00B42CB9"/>
    <w:rsid w:val="00B60D3C"/>
    <w:rsid w:val="00B779FD"/>
    <w:rsid w:val="00BB217B"/>
    <w:rsid w:val="00BB7E5E"/>
    <w:rsid w:val="00BD73CE"/>
    <w:rsid w:val="00BE3762"/>
    <w:rsid w:val="00C33D94"/>
    <w:rsid w:val="00C46780"/>
    <w:rsid w:val="00C70B64"/>
    <w:rsid w:val="00C841DA"/>
    <w:rsid w:val="00CA7790"/>
    <w:rsid w:val="00CD5078"/>
    <w:rsid w:val="00CE4999"/>
    <w:rsid w:val="00CF547C"/>
    <w:rsid w:val="00CF7A6E"/>
    <w:rsid w:val="00D02409"/>
    <w:rsid w:val="00D055CF"/>
    <w:rsid w:val="00D309EE"/>
    <w:rsid w:val="00D56621"/>
    <w:rsid w:val="00D7700F"/>
    <w:rsid w:val="00D82D79"/>
    <w:rsid w:val="00DA7338"/>
    <w:rsid w:val="00DB129A"/>
    <w:rsid w:val="00E05DAA"/>
    <w:rsid w:val="00E910FF"/>
    <w:rsid w:val="00E97257"/>
    <w:rsid w:val="00EA6310"/>
    <w:rsid w:val="00EB0DAF"/>
    <w:rsid w:val="00EB34D3"/>
    <w:rsid w:val="00ED41A8"/>
    <w:rsid w:val="00EE5D92"/>
    <w:rsid w:val="00F13D4E"/>
    <w:rsid w:val="00F52108"/>
    <w:rsid w:val="00F9040D"/>
    <w:rsid w:val="00FB3D61"/>
    <w:rsid w:val="00FC0D9A"/>
    <w:rsid w:val="00FE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41B07"/>
  <w15:docId w15:val="{999D6162-3E3F-433B-B0F2-21AAB952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outlineLvl w:val="0"/>
    </w:pPr>
    <w:rPr>
      <w:sz w:val="32"/>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spacing w:line="360" w:lineRule="auto"/>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pPr>
      <w:widowControl w:val="0"/>
      <w:jc w:val="center"/>
    </w:pPr>
    <w:rPr>
      <w:rFonts w:ascii="Times New Roman" w:hAnsi="Times New Roman"/>
      <w:b/>
      <w:snapToGrid w:val="0"/>
      <w:sz w:val="48"/>
    </w:rPr>
  </w:style>
  <w:style w:type="paragraph" w:customStyle="1" w:styleId="chaptitle">
    <w:name w:val="chaptitle"/>
    <w:basedOn w:val="Normal"/>
    <w:pPr>
      <w:widowControl w:val="0"/>
      <w:jc w:val="center"/>
    </w:pPr>
    <w:rPr>
      <w:b/>
      <w:snapToGrid w:val="0"/>
      <w:sz w:val="48"/>
    </w:rPr>
  </w:style>
  <w:style w:type="paragraph" w:customStyle="1" w:styleId="sectitle">
    <w:name w:val="sectitle"/>
    <w:basedOn w:val="Normal"/>
    <w:pPr>
      <w:widowControl w:val="0"/>
    </w:pPr>
    <w:rPr>
      <w:b/>
      <w:snapToGrid w:val="0"/>
      <w:sz w:val="32"/>
    </w:rPr>
  </w:style>
  <w:style w:type="paragraph" w:styleId="BodyTextIndent">
    <w:name w:val="Body Text Indent"/>
    <w:basedOn w:val="Normal"/>
    <w:semiHidden/>
    <w:pPr>
      <w:ind w:left="1440"/>
    </w:pPr>
  </w:style>
  <w:style w:type="paragraph" w:styleId="BodyTextIndent2">
    <w:name w:val="Body Text Indent 2"/>
    <w:basedOn w:val="Normal"/>
    <w:semiHidden/>
    <w:pPr>
      <w:ind w:left="1080"/>
    </w:pPr>
  </w:style>
  <w:style w:type="paragraph" w:styleId="BodyText">
    <w:name w:val="Body Text"/>
    <w:basedOn w:val="Normal"/>
    <w:semiHidden/>
    <w:pPr>
      <w:spacing w:line="360" w:lineRule="auto"/>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otnoteReference">
    <w:name w:val="footnote reference"/>
    <w:semiHidden/>
  </w:style>
  <w:style w:type="paragraph" w:customStyle="1" w:styleId="Level1">
    <w:name w:val="Level 1"/>
    <w:basedOn w:val="Normal"/>
    <w:pPr>
      <w:widowControl w:val="0"/>
      <w:numPr>
        <w:numId w:val="5"/>
      </w:numPr>
      <w:ind w:left="720" w:hanging="720"/>
      <w:outlineLvl w:val="0"/>
    </w:pPr>
    <w:rPr>
      <w:rFonts w:ascii="Times New Roman" w:hAnsi="Times New Roman"/>
      <w:snapToGrid w:val="0"/>
      <w:sz w:val="24"/>
    </w:rPr>
  </w:style>
  <w:style w:type="character" w:customStyle="1" w:styleId="Hypertext">
    <w:name w:val="Hypertext"/>
    <w:rPr>
      <w:color w:val="0000FF"/>
      <w:u w:val="single"/>
    </w:rPr>
  </w:style>
  <w:style w:type="paragraph" w:styleId="BodyTextIndent3">
    <w:name w:val="Body Text Indent 3"/>
    <w:basedOn w:val="Normal"/>
    <w:semiHidden/>
    <w:pPr>
      <w:spacing w:line="360" w:lineRule="auto"/>
      <w:ind w:left="540" w:hanging="930"/>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line="360" w:lineRule="auto"/>
      <w:ind w:right="720"/>
    </w:pPr>
    <w:rPr>
      <w:rFonts w:cs="Arial"/>
    </w:rPr>
  </w:style>
  <w:style w:type="paragraph" w:styleId="NormalWeb">
    <w:name w:val="Normal (Web)"/>
    <w:basedOn w:val="Normal"/>
    <w:semiHidden/>
    <w:pPr>
      <w:spacing w:before="100" w:beforeAutospacing="1" w:after="100" w:afterAutospacing="1"/>
    </w:pPr>
    <w:rPr>
      <w:rFonts w:ascii="Times New Roman" w:hAnsi="Times New Roman"/>
      <w:sz w:val="24"/>
      <w:szCs w:val="24"/>
      <w:lang w:val="en-CA"/>
    </w:rPr>
  </w:style>
  <w:style w:type="paragraph" w:customStyle="1" w:styleId="Style">
    <w:name w:val="Style"/>
    <w:pPr>
      <w:widowControl w:val="0"/>
      <w:autoSpaceDE w:val="0"/>
      <w:autoSpaceDN w:val="0"/>
      <w:adjustRightInd w:val="0"/>
    </w:pPr>
    <w:rPr>
      <w:szCs w:val="24"/>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TBY">
    <w:name w:val="TBY"/>
    <w:basedOn w:val="Normal"/>
    <w:next w:val="NoParagraphStyle"/>
    <w:pPr>
      <w:widowControl w:val="0"/>
      <w:tabs>
        <w:tab w:val="left" w:pos="357"/>
        <w:tab w:val="left" w:pos="2520"/>
        <w:tab w:val="right" w:pos="8160"/>
        <w:tab w:val="right" w:pos="9340"/>
      </w:tabs>
      <w:autoSpaceDE w:val="0"/>
      <w:autoSpaceDN w:val="0"/>
      <w:adjustRightInd w:val="0"/>
      <w:spacing w:line="220" w:lineRule="atLeast"/>
      <w:textAlignment w:val="center"/>
    </w:pPr>
    <w:rPr>
      <w:rFonts w:ascii="Futura-Book" w:hAnsi="Futura-Book"/>
      <w:b/>
      <w:bCs/>
      <w:color w:val="000065"/>
      <w:spacing w:val="-1"/>
      <w:sz w:val="17"/>
      <w:szCs w:val="17"/>
    </w:rPr>
  </w:style>
  <w:style w:type="character" w:customStyle="1" w:styleId="bold">
    <w:name w:val="bold"/>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rFonts w:cs="Arial"/>
      <w:sz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rFonts w:cs="Times New Roman"/>
      <w:b/>
      <w:bCs/>
    </w:rPr>
  </w:style>
  <w:style w:type="paragraph" w:styleId="Revision">
    <w:name w:val="Revision"/>
    <w:hidden/>
    <w:uiPriority w:val="99"/>
    <w:semiHidden/>
    <w:rsid w:val="00973E54"/>
    <w:rPr>
      <w:rFonts w:ascii="Arial" w:hAnsi="Arial"/>
      <w:sz w:val="22"/>
    </w:rPr>
  </w:style>
  <w:style w:type="paragraph" w:customStyle="1" w:styleId="bchtx">
    <w:name w:val="bch_tx"/>
    <w:basedOn w:val="NoParagraphStyle"/>
    <w:next w:val="NoParagraphStyle"/>
    <w:rsid w:val="00AF5FFD"/>
    <w:pPr>
      <w:spacing w:line="250" w:lineRule="atLeast"/>
      <w:ind w:firstLine="360"/>
      <w:jc w:val="both"/>
    </w:pPr>
    <w:rPr>
      <w:rFonts w:ascii="PalatinoLTStd-Roman" w:hAnsi="PalatinoLTStd-Roman" w:cs="PalatinoLTStd-Roman"/>
      <w:sz w:val="20"/>
      <w:szCs w:val="20"/>
      <w:lang w:eastAsia="en-IN" w:bidi="he-IL"/>
    </w:rPr>
  </w:style>
  <w:style w:type="paragraph" w:customStyle="1" w:styleId="bcecelnfirst">
    <w:name w:val="bcece_ln.first"/>
    <w:basedOn w:val="NoParagraphStyle"/>
    <w:rsid w:val="00966C4A"/>
    <w:pPr>
      <w:tabs>
        <w:tab w:val="decimal" w:pos="250"/>
        <w:tab w:val="left" w:pos="480"/>
      </w:tabs>
      <w:spacing w:before="120" w:line="250" w:lineRule="atLeast"/>
      <w:ind w:left="480" w:hanging="480"/>
      <w:jc w:val="both"/>
    </w:pPr>
    <w:rPr>
      <w:rFonts w:ascii="PalatinoLTStd-Roman" w:hAnsi="PalatinoLTStd-Roman" w:cs="PalatinoLTStd-Roman"/>
      <w:sz w:val="20"/>
      <w:szCs w:val="20"/>
      <w:lang w:eastAsia="en-IN" w:bidi="he-IL"/>
    </w:rPr>
  </w:style>
  <w:style w:type="paragraph" w:customStyle="1" w:styleId="bchfgtx">
    <w:name w:val="bch_fgtx"/>
    <w:basedOn w:val="NoParagraphStyle"/>
    <w:rsid w:val="004F08F6"/>
    <w:pPr>
      <w:spacing w:line="220" w:lineRule="atLeast"/>
    </w:pPr>
    <w:rPr>
      <w:rFonts w:ascii="HelveticaNeueLTStd-Roman" w:hAnsi="HelveticaNeueLTStd-Roman" w:cs="HelveticaNeueLTStd-Roman"/>
      <w:sz w:val="17"/>
      <w:szCs w:val="17"/>
      <w:lang w:eastAsia="en-IN" w:bidi="he-IL"/>
    </w:rPr>
  </w:style>
  <w:style w:type="character" w:customStyle="1" w:styleId="ital">
    <w:name w:val="ital"/>
    <w:rsid w:val="004F08F6"/>
    <w:rPr>
      <w:i/>
      <w:iCs/>
    </w:rPr>
  </w:style>
  <w:style w:type="paragraph" w:styleId="ListParagraph">
    <w:name w:val="List Paragraph"/>
    <w:basedOn w:val="Normal"/>
    <w:uiPriority w:val="34"/>
    <w:qFormat/>
    <w:rsid w:val="00173631"/>
    <w:pPr>
      <w:ind w:left="720"/>
      <w:contextualSpacing/>
    </w:pPr>
  </w:style>
  <w:style w:type="paragraph" w:customStyle="1" w:styleId="bcepqlnfirst">
    <w:name w:val="bcepq_ln.first"/>
    <w:basedOn w:val="NoParagraphStyle"/>
    <w:next w:val="NoParagraphStyle"/>
    <w:rsid w:val="007C1783"/>
    <w:pPr>
      <w:tabs>
        <w:tab w:val="decimal" w:pos="250"/>
        <w:tab w:val="left" w:pos="480"/>
      </w:tabs>
      <w:spacing w:before="120" w:line="250" w:lineRule="atLeast"/>
      <w:ind w:left="480" w:hanging="480"/>
      <w:jc w:val="both"/>
    </w:pPr>
    <w:rPr>
      <w:rFonts w:ascii="PalatinoLTStd-Roman" w:hAnsi="PalatinoLTStd-Roman" w:cs="PalatinoLTStd-Roman"/>
      <w:sz w:val="20"/>
      <w:szCs w:val="20"/>
      <w:lang w:eastAsia="en-IN" w:bidi="he-IL"/>
    </w:rPr>
  </w:style>
  <w:style w:type="paragraph" w:customStyle="1" w:styleId="bcepqln">
    <w:name w:val="bcepq_ln"/>
    <w:basedOn w:val="NoParagraphStyle"/>
    <w:next w:val="NoParagraphStyle"/>
    <w:rsid w:val="007C1783"/>
    <w:pPr>
      <w:tabs>
        <w:tab w:val="decimal" w:pos="250"/>
        <w:tab w:val="left" w:pos="480"/>
      </w:tabs>
      <w:spacing w:before="60" w:line="250" w:lineRule="atLeast"/>
      <w:ind w:left="480" w:hanging="480"/>
      <w:jc w:val="both"/>
    </w:pPr>
    <w:rPr>
      <w:rFonts w:ascii="PalatinoLTStd-Roman" w:hAnsi="PalatinoLTStd-Roman" w:cs="PalatinoLTStd-Roman"/>
      <w:sz w:val="20"/>
      <w:szCs w:val="20"/>
      <w:lang w:eastAsia="en-IN" w:bidi="he-IL"/>
    </w:rPr>
  </w:style>
  <w:style w:type="paragraph" w:customStyle="1" w:styleId="bcepqtbtx">
    <w:name w:val="bcepq_tbtx"/>
    <w:basedOn w:val="NoParagraphStyle"/>
    <w:rsid w:val="007C1783"/>
    <w:pPr>
      <w:tabs>
        <w:tab w:val="left" w:pos="360"/>
        <w:tab w:val="right" w:pos="3220"/>
        <w:tab w:val="right" w:pos="5640"/>
        <w:tab w:val="right" w:pos="6700"/>
      </w:tabs>
      <w:spacing w:line="220" w:lineRule="atLeast"/>
    </w:pPr>
    <w:rPr>
      <w:rFonts w:ascii="HelveticaNeueLTStd-Roman" w:hAnsi="HelveticaNeueLTStd-Roman" w:cs="HelveticaNeueLTStd-Roman"/>
      <w:sz w:val="17"/>
      <w:szCs w:val="17"/>
      <w:lang w:eastAsia="en-IN" w:bidi="he-IL"/>
    </w:rPr>
  </w:style>
  <w:style w:type="paragraph" w:customStyle="1" w:styleId="bcepqhaa">
    <w:name w:val="bcepq_ha_a"/>
    <w:basedOn w:val="NoParagraphStyle"/>
    <w:next w:val="NoParagraphStyle"/>
    <w:rsid w:val="007C1783"/>
    <w:pPr>
      <w:keepNext/>
      <w:spacing w:before="240" w:after="60" w:line="250" w:lineRule="atLeast"/>
      <w:jc w:val="both"/>
    </w:pPr>
    <w:rPr>
      <w:rFonts w:ascii="PalatinoLTStd-Bold" w:hAnsi="PalatinoLTStd-Bold" w:cs="PalatinoLTStd-Bold"/>
      <w:b/>
      <w:bCs/>
      <w:color w:val="C1462D"/>
      <w:sz w:val="22"/>
      <w:szCs w:val="22"/>
      <w:lang w:eastAsia="en-IN" w:bidi="he-IL"/>
    </w:rPr>
  </w:style>
  <w:style w:type="paragraph" w:customStyle="1" w:styleId="bcepqlafirst">
    <w:name w:val="bcepq_la.first"/>
    <w:basedOn w:val="NoParagraphStyle"/>
    <w:rsid w:val="007C1783"/>
    <w:pPr>
      <w:tabs>
        <w:tab w:val="right" w:pos="220"/>
        <w:tab w:val="left" w:pos="360"/>
      </w:tabs>
      <w:spacing w:before="120" w:line="250" w:lineRule="atLeast"/>
      <w:ind w:left="360" w:hanging="360"/>
      <w:jc w:val="both"/>
    </w:pPr>
    <w:rPr>
      <w:rFonts w:ascii="PalatinoLTStd-Roman" w:hAnsi="PalatinoLTStd-Roman" w:cs="PalatinoLTStd-Roman"/>
      <w:sz w:val="20"/>
      <w:szCs w:val="20"/>
      <w:lang w:eastAsia="en-IN" w:bidi="he-IL"/>
    </w:rPr>
  </w:style>
  <w:style w:type="paragraph" w:customStyle="1" w:styleId="bcepqtbcn">
    <w:name w:val="bcepq_tbcn"/>
    <w:basedOn w:val="NoParagraphStyle"/>
    <w:rsid w:val="007C1783"/>
    <w:pPr>
      <w:spacing w:before="240" w:after="60" w:line="220" w:lineRule="atLeast"/>
      <w:jc w:val="center"/>
    </w:pPr>
    <w:rPr>
      <w:rFonts w:ascii="HelveticaNeueLTStd-BdIt" w:hAnsi="HelveticaNeueLTStd-BdIt" w:cs="HelveticaNeueLTStd-BdIt"/>
      <w:b/>
      <w:bCs/>
      <w:i/>
      <w:iCs/>
      <w:sz w:val="18"/>
      <w:szCs w:val="18"/>
      <w:lang w:eastAsia="en-IN" w:bidi="he-IL"/>
    </w:rPr>
  </w:style>
  <w:style w:type="paragraph" w:customStyle="1" w:styleId="bcepqtbsha">
    <w:name w:val="bcepq_tbsh_a"/>
    <w:basedOn w:val="NoParagraphStyle"/>
    <w:rsid w:val="007C1783"/>
    <w:pPr>
      <w:tabs>
        <w:tab w:val="center" w:pos="2880"/>
        <w:tab w:val="center" w:pos="5280"/>
        <w:tab w:val="center" w:pos="5700"/>
      </w:tabs>
      <w:spacing w:after="60" w:line="220" w:lineRule="atLeast"/>
      <w:jc w:val="center"/>
    </w:pPr>
    <w:rPr>
      <w:rFonts w:ascii="HelveticaNeueLTStd-It" w:hAnsi="HelveticaNeueLTStd-It" w:cs="HelveticaNeueLTStd-It"/>
      <w:i/>
      <w:iCs/>
      <w:sz w:val="18"/>
      <w:szCs w:val="18"/>
      <w:lang w:eastAsia="en-IN" w:bidi="he-IL"/>
    </w:rPr>
  </w:style>
  <w:style w:type="character" w:customStyle="1" w:styleId="mpi">
    <w:name w:val="mpi"/>
    <w:rsid w:val="007C1783"/>
    <w:rPr>
      <w:rFonts w:ascii="MathematicalPiLTStd-1" w:hAnsi="MathematicalPiLTStd-1" w:cs="MathematicalPiLTStd-1"/>
    </w:rPr>
  </w:style>
  <w:style w:type="character" w:customStyle="1" w:styleId="rule1roman">
    <w:name w:val="rule_1 roman"/>
    <w:rsid w:val="007C1783"/>
    <w:rPr>
      <w:u w:val="thick"/>
    </w:rPr>
  </w:style>
  <w:style w:type="character" w:customStyle="1" w:styleId="rule1">
    <w:name w:val="rule_1"/>
    <w:rsid w:val="007C1783"/>
  </w:style>
  <w:style w:type="paragraph" w:customStyle="1" w:styleId="bchnm">
    <w:name w:val="bch_nm"/>
    <w:basedOn w:val="NoParagraphStyle"/>
    <w:rsid w:val="001E35EA"/>
    <w:pPr>
      <w:jc w:val="center"/>
    </w:pPr>
    <w:rPr>
      <w:rFonts w:ascii="HelveticaNeueLTStd-MdEx" w:hAnsi="HelveticaNeueLTStd-MdEx" w:cs="HelveticaNeueLTStd-MdEx"/>
      <w:color w:val="FFFFFF"/>
      <w:sz w:val="76"/>
      <w:szCs w:val="76"/>
      <w:lang w:eastAsia="en-IN" w:bidi="he-IL"/>
    </w:rPr>
  </w:style>
  <w:style w:type="paragraph" w:customStyle="1" w:styleId="bullet">
    <w:name w:val="bullet"/>
    <w:basedOn w:val="Normal"/>
    <w:rsid w:val="003517E4"/>
    <w:pPr>
      <w:spacing w:before="65" w:after="65"/>
      <w:ind w:left="1488" w:hanging="684"/>
    </w:pPr>
    <w:rPr>
      <w:rFonts w:ascii="Times New Roman" w:hAnsi="Times New Roman"/>
      <w:szCs w:val="22"/>
    </w:rPr>
  </w:style>
  <w:style w:type="paragraph" w:customStyle="1" w:styleId="paragraph">
    <w:name w:val="paragraph"/>
    <w:basedOn w:val="Normal"/>
    <w:rsid w:val="003517E4"/>
    <w:pPr>
      <w:spacing w:before="65" w:after="65"/>
      <w:ind w:left="785" w:hanging="708"/>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document.k5tree.onNodeTextClick(17910)" TargetMode="External"/><Relationship Id="rId5" Type="http://schemas.openxmlformats.org/officeDocument/2006/relationships/footnotes" Target="footnotes.xml"/><Relationship Id="rId10" Type="http://schemas.openxmlformats.org/officeDocument/2006/relationships/hyperlink" Target="javascript:document.k5tree.onNodeTextClick(17910)" TargetMode="External"/><Relationship Id="rId4" Type="http://schemas.openxmlformats.org/officeDocument/2006/relationships/webSettings" Target="webSettings.xml"/><Relationship Id="rId9" Type="http://schemas.openxmlformats.org/officeDocument/2006/relationships/hyperlink" Target="javascript:document.k5tree.onNodeTextClick(17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1797</TotalTime>
  <Pages>34</Pages>
  <Words>9872</Words>
  <Characters>56272</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Section 1</vt:lpstr>
    </vt:vector>
  </TitlesOfParts>
  <Company>Toshiba</Company>
  <LinksUpToDate>false</LinksUpToDate>
  <CharactersWithSpaces>66012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Carleton University</dc:creator>
  <cp:lastModifiedBy>Rydzanicz, Amy</cp:lastModifiedBy>
  <cp:revision>8</cp:revision>
  <cp:lastPrinted>2015-01-21T12:15:00Z</cp:lastPrinted>
  <dcterms:created xsi:type="dcterms:W3CDTF">2018-07-31T11:03:00Z</dcterms:created>
  <dcterms:modified xsi:type="dcterms:W3CDTF">2018-08-13T17:58:00Z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